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</w:rPr>
        <w:t>关于评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选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2019年度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管理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育人优秀教育工作者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的通知</w:t>
      </w:r>
    </w:p>
    <w:p>
      <w:pPr>
        <w:spacing w:line="620" w:lineRule="exact"/>
        <w:contextualSpacing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</w:p>
    <w:p>
      <w:pPr>
        <w:spacing w:line="620" w:lineRule="exact"/>
        <w:contextualSpacing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校属各单位：</w:t>
      </w:r>
    </w:p>
    <w:p>
      <w:pPr>
        <w:spacing w:line="620" w:lineRule="exact"/>
        <w:ind w:firstLine="640" w:firstLineChars="200"/>
        <w:contextualSpacing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为进一步弘扬尊师重教的良好风尚，激励在管理育人方面做出突出成绩和贡献的优秀教职工，增强广大教职工管理育人的荣誉感和责任感。根据学校《关于评选表彰2019年“十佳育人体系”优秀教育工作者的通知》文件精神，拟开展管理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/>
        </w:rPr>
        <w:t>育人优秀教育工作者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评选活动，具体通知如下：</w:t>
      </w:r>
    </w:p>
    <w:p>
      <w:pPr>
        <w:spacing w:line="620" w:lineRule="exact"/>
        <w:ind w:firstLine="643" w:firstLineChars="200"/>
        <w:contextualSpacing/>
        <w:rPr>
          <w:rFonts w:hint="eastAsia" w:ascii="黑体" w:hAnsi="黑体" w:eastAsia="黑体" w:cs="黑体"/>
          <w:b/>
          <w:bCs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eastAsia="zh-CN"/>
        </w:rPr>
        <w:t>一、参评对象</w:t>
      </w:r>
    </w:p>
    <w:p>
      <w:pPr>
        <w:spacing w:line="620" w:lineRule="exact"/>
        <w:ind w:firstLine="640" w:firstLineChars="200"/>
        <w:contextualSpacing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全校在职教职工（含直聘人员）</w:t>
      </w:r>
    </w:p>
    <w:p>
      <w:pPr>
        <w:spacing w:line="620" w:lineRule="exact"/>
        <w:ind w:firstLine="643" w:firstLineChars="200"/>
        <w:contextualSpacing/>
        <w:rPr>
          <w:rFonts w:hint="eastAsia" w:ascii="黑体" w:hAnsi="黑体" w:eastAsia="黑体" w:cs="黑体"/>
          <w:b/>
          <w:bCs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eastAsia="zh-CN"/>
        </w:rPr>
        <w:t>二、参评条件</w:t>
      </w:r>
    </w:p>
    <w:p>
      <w:pPr>
        <w:spacing w:line="620" w:lineRule="exact"/>
        <w:ind w:firstLine="643" w:firstLineChars="200"/>
        <w:contextualSpacing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eastAsia="zh-CN"/>
        </w:rPr>
        <w:t>（一）基本条件</w:t>
      </w:r>
    </w:p>
    <w:p>
      <w:pPr>
        <w:spacing w:line="620" w:lineRule="exact"/>
        <w:ind w:firstLine="640" w:firstLineChars="200"/>
        <w:contextualSpacing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政治立场坚定，拥护中国共产党的领导，热爱教育工作；</w:t>
      </w:r>
    </w:p>
    <w:p>
      <w:pPr>
        <w:spacing w:line="620" w:lineRule="exact"/>
        <w:ind w:firstLine="640" w:firstLineChars="200"/>
        <w:contextualSpacing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遵守国家的法律、法规和学校的规章制度，在师生中反响良好，有突出的典型事迹；</w:t>
      </w:r>
    </w:p>
    <w:p>
      <w:pPr>
        <w:spacing w:line="620" w:lineRule="exact"/>
        <w:ind w:firstLine="640" w:firstLineChars="200"/>
        <w:contextualSpacing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在学校管理岗位工作时间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年（含）以上。</w:t>
      </w:r>
    </w:p>
    <w:p>
      <w:pPr>
        <w:spacing w:line="620" w:lineRule="exact"/>
        <w:ind w:firstLine="643" w:firstLineChars="200"/>
        <w:contextualSpacing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eastAsia="zh-CN"/>
        </w:rPr>
        <w:t>(二)管理育人</w:t>
      </w:r>
    </w:p>
    <w:p>
      <w:pPr>
        <w:spacing w:line="620" w:lineRule="exact"/>
        <w:ind w:firstLine="640" w:firstLineChars="200"/>
        <w:contextualSpacing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以人为本，关心学生。注重调查研究，主动关心学生的成长和发展，解决实际问题并受到广泛好评。</w:t>
      </w:r>
    </w:p>
    <w:p>
      <w:pPr>
        <w:spacing w:line="620" w:lineRule="exact"/>
        <w:ind w:firstLine="640" w:firstLineChars="200"/>
        <w:contextualSpacing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勤于学习，善于管理。勤于学习业务知识，积极探索新形势下管理工作和人才培养的科学规律，管理成效显著。</w:t>
      </w:r>
    </w:p>
    <w:p>
      <w:pPr>
        <w:spacing w:line="620" w:lineRule="exact"/>
        <w:ind w:firstLine="640" w:firstLineChars="200"/>
        <w:contextualSpacing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牢记宗旨，爱岗敬业。牢固树立服务意识，创造性地履行岗位职责。作风扎实，立足岗位，建功立业，业绩突出。</w:t>
      </w:r>
    </w:p>
    <w:p>
      <w:pPr>
        <w:spacing w:line="620" w:lineRule="exact"/>
        <w:ind w:firstLine="640" w:firstLineChars="200"/>
        <w:contextualSpacing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严于律己，无私奉献。模范遵守职业道德规范，令行禁止，办事公道，具有高度的责任感、事业心和奉献精神；能主动为教学、科研和全体师生服务，注重营造优良的育人环境。</w:t>
      </w:r>
    </w:p>
    <w:p>
      <w:pPr>
        <w:spacing w:line="620" w:lineRule="exact"/>
        <w:ind w:firstLine="640" w:firstLineChars="200"/>
        <w:contextualSpacing/>
        <w:rPr>
          <w:rFonts w:hint="eastAsia" w:ascii="黑体" w:hAnsi="黑体" w:eastAsia="黑体" w:cs="黑体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eastAsia="zh-CN"/>
        </w:rPr>
        <w:t>三、推荐评审</w:t>
      </w:r>
    </w:p>
    <w:p>
      <w:pPr>
        <w:spacing w:line="620" w:lineRule="exact"/>
        <w:ind w:firstLine="640" w:firstLineChars="200"/>
        <w:contextualSpacing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符合条件的教职工自愿申报，由教职工所在党总支审核推荐（各总支限推荐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1人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）；学校党政办组织专家进行评审，评审结果报学校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2019年度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“十大育人体系”优秀教育工作者评审工作领导小组审定。</w:t>
      </w:r>
    </w:p>
    <w:p>
      <w:pPr>
        <w:spacing w:line="620" w:lineRule="exact"/>
        <w:ind w:firstLine="640" w:firstLineChars="200"/>
        <w:contextualSpacing/>
        <w:rPr>
          <w:rFonts w:hint="eastAsia" w:ascii="黑体" w:hAnsi="黑体" w:eastAsia="黑体" w:cs="黑体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eastAsia="zh-CN"/>
        </w:rPr>
        <w:t>四、工作要求</w:t>
      </w:r>
    </w:p>
    <w:p>
      <w:pPr>
        <w:spacing w:line="620" w:lineRule="exact"/>
        <w:ind w:firstLine="640" w:firstLineChars="200"/>
        <w:contextualSpacing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坚持实事求是，充分发挥民主。各单位要高度重视，认真组织，要向广大教师宣传评选条件和有关规定，由所在单位民主推荐、公示无异议后，报党政办。</w:t>
      </w:r>
    </w:p>
    <w:p>
      <w:pPr>
        <w:spacing w:line="620" w:lineRule="exact"/>
        <w:ind w:firstLine="640" w:firstLineChars="200"/>
        <w:contextualSpacing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坚持择优选拔，确保评选质量。坚持以师德表现、工作业绩和贡献大小作为衡量标准，择优进行选拔。</w:t>
      </w:r>
    </w:p>
    <w:p>
      <w:pPr>
        <w:spacing w:line="620" w:lineRule="exact"/>
        <w:ind w:firstLine="640" w:firstLineChars="200"/>
        <w:contextualSpacing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坚持公平公正，杜绝违纪行为。严肃推荐纪律，严格履行程序，坚持公开、公平、公正的原则，对在推荐工作中有弄虚作假和徇私舞弊的违纪行为，经查实后撤销评选资格。</w:t>
      </w:r>
    </w:p>
    <w:p>
      <w:pPr>
        <w:spacing w:line="620" w:lineRule="exact"/>
        <w:ind w:firstLine="640" w:firstLineChars="200"/>
        <w:contextualSpacing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按时报送材料，确保工作进度。被推荐人员填写《湘潭医卫职业技术学院“十大育人体系”优秀教育工作者评审推荐表》（见附件）并附1000字的事迹材料各一式两份。于11月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日前交护理楼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917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肖啄言老师，需同时报送电子文档，电子档发至邮箱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873562657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@qq.com。</w:t>
      </w:r>
    </w:p>
    <w:p>
      <w:pPr>
        <w:spacing w:line="620" w:lineRule="exact"/>
        <w:ind w:firstLine="640" w:firstLineChars="200"/>
        <w:contextualSpacing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</w:p>
    <w:p>
      <w:pPr>
        <w:spacing w:line="620" w:lineRule="exact"/>
        <w:ind w:firstLine="640" w:firstLineChars="200"/>
        <w:contextualSpacing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</w:p>
    <w:p>
      <w:pPr>
        <w:spacing w:line="620" w:lineRule="exact"/>
        <w:ind w:firstLine="640" w:firstLineChars="200"/>
        <w:contextualSpacing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</w:p>
    <w:p>
      <w:pPr>
        <w:spacing w:line="620" w:lineRule="exact"/>
        <w:ind w:firstLine="640" w:firstLineChars="200"/>
        <w:contextualSpacing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件：</w:t>
      </w:r>
    </w:p>
    <w:p>
      <w:pPr>
        <w:spacing w:line="620" w:lineRule="exact"/>
        <w:ind w:firstLine="640" w:firstLineChars="200"/>
        <w:contextualSpacing/>
        <w:rPr>
          <w:rFonts w:hint="default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《湘潭医卫职业技术学院“十大育人体系”优秀教育工作者评审推荐表》</w:t>
      </w:r>
    </w:p>
    <w:p>
      <w:pPr>
        <w:ind w:firstLine="472" w:firstLineChars="147"/>
        <w:jc w:val="center"/>
        <w:rPr>
          <w:rFonts w:hint="eastAsia"/>
          <w:b/>
          <w:sz w:val="32"/>
          <w:szCs w:val="32"/>
          <w:lang w:eastAsia="zh-CN"/>
        </w:rPr>
      </w:pPr>
    </w:p>
    <w:p>
      <w:pPr>
        <w:ind w:firstLine="472" w:firstLineChars="147"/>
        <w:jc w:val="center"/>
        <w:rPr>
          <w:rFonts w:hint="eastAsia"/>
          <w:b/>
          <w:sz w:val="32"/>
          <w:szCs w:val="32"/>
          <w:lang w:eastAsia="zh-CN"/>
        </w:rPr>
      </w:pPr>
    </w:p>
    <w:p>
      <w:pPr>
        <w:ind w:firstLine="472" w:firstLineChars="147"/>
        <w:jc w:val="center"/>
        <w:rPr>
          <w:rFonts w:hint="eastAsia"/>
          <w:b/>
          <w:sz w:val="32"/>
          <w:szCs w:val="32"/>
          <w:lang w:eastAsia="zh-CN"/>
        </w:rPr>
      </w:pPr>
    </w:p>
    <w:p>
      <w:pPr>
        <w:spacing w:line="620" w:lineRule="exact"/>
        <w:ind w:firstLine="640" w:firstLineChars="200"/>
        <w:contextualSpacing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党政办公室</w:t>
      </w:r>
    </w:p>
    <w:p>
      <w:pPr>
        <w:spacing w:line="620" w:lineRule="exact"/>
        <w:ind w:firstLine="640" w:firstLineChars="200"/>
        <w:contextualSpacing/>
        <w:jc w:val="center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                          2019年10月28日</w:t>
      </w:r>
    </w:p>
    <w:p>
      <w:pPr>
        <w:ind w:firstLine="472" w:firstLineChars="147"/>
        <w:jc w:val="center"/>
        <w:rPr>
          <w:rFonts w:hint="eastAsia"/>
          <w:b/>
          <w:sz w:val="32"/>
          <w:szCs w:val="32"/>
          <w:lang w:eastAsia="zh-CN"/>
        </w:rPr>
      </w:pPr>
    </w:p>
    <w:p>
      <w:pPr>
        <w:ind w:firstLine="472" w:firstLineChars="147"/>
        <w:jc w:val="center"/>
        <w:rPr>
          <w:rFonts w:hint="eastAsia"/>
          <w:b/>
          <w:sz w:val="32"/>
          <w:szCs w:val="32"/>
          <w:lang w:eastAsia="zh-CN"/>
        </w:rPr>
      </w:pPr>
    </w:p>
    <w:p>
      <w:pPr>
        <w:ind w:firstLine="472" w:firstLineChars="147"/>
        <w:jc w:val="center"/>
        <w:rPr>
          <w:rFonts w:hint="eastAsia"/>
          <w:b/>
          <w:sz w:val="32"/>
          <w:szCs w:val="32"/>
          <w:lang w:eastAsia="zh-CN"/>
        </w:rPr>
      </w:pPr>
    </w:p>
    <w:p>
      <w:pPr>
        <w:widowControl/>
        <w:shd w:val="clear" w:color="auto" w:fill="FFFFFF"/>
        <w:spacing w:line="620" w:lineRule="exact"/>
        <w:rPr>
          <w:rFonts w:hint="eastAsia" w:ascii="楷体" w:hAnsi="楷体" w:eastAsia="楷体" w:cs="楷体"/>
          <w:b/>
          <w:bCs/>
          <w:sz w:val="32"/>
          <w:szCs w:val="32"/>
        </w:rPr>
      </w:pPr>
    </w:p>
    <w:p>
      <w:pPr>
        <w:widowControl/>
        <w:shd w:val="clear" w:color="auto" w:fill="FFFFFF"/>
        <w:spacing w:line="620" w:lineRule="exact"/>
        <w:rPr>
          <w:rFonts w:hint="eastAsia" w:ascii="楷体" w:hAnsi="楷体" w:eastAsia="楷体" w:cs="楷体"/>
          <w:b/>
          <w:bCs/>
          <w:sz w:val="32"/>
          <w:szCs w:val="32"/>
        </w:rPr>
      </w:pPr>
    </w:p>
    <w:p>
      <w:pPr>
        <w:widowControl/>
        <w:shd w:val="clear" w:color="auto" w:fill="FFFFFF"/>
        <w:spacing w:line="620" w:lineRule="exact"/>
        <w:rPr>
          <w:rFonts w:hint="eastAsia" w:ascii="楷体" w:hAnsi="楷体" w:eastAsia="楷体" w:cs="楷体"/>
          <w:b/>
          <w:bCs/>
          <w:sz w:val="32"/>
          <w:szCs w:val="32"/>
        </w:rPr>
      </w:pPr>
    </w:p>
    <w:p>
      <w:pPr>
        <w:widowControl/>
        <w:shd w:val="clear" w:color="auto" w:fill="FFFFFF"/>
        <w:spacing w:line="620" w:lineRule="exact"/>
        <w:rPr>
          <w:rFonts w:hint="eastAsia" w:ascii="楷体" w:hAnsi="楷体" w:eastAsia="楷体" w:cs="楷体"/>
          <w:b/>
          <w:bCs/>
          <w:sz w:val="32"/>
          <w:szCs w:val="32"/>
        </w:rPr>
      </w:pPr>
      <w:bookmarkStart w:id="0" w:name="_GoBack"/>
      <w:bookmarkEnd w:id="0"/>
    </w:p>
    <w:p>
      <w:pPr>
        <w:widowControl/>
        <w:shd w:val="clear" w:color="auto" w:fill="FFFFFF"/>
        <w:spacing w:line="620" w:lineRule="exact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附  件：</w:t>
      </w:r>
    </w:p>
    <w:p>
      <w:pPr>
        <w:widowControl/>
        <w:shd w:val="clear" w:color="auto" w:fill="FFFFFF"/>
        <w:spacing w:line="580" w:lineRule="exact"/>
        <w:jc w:val="center"/>
        <w:rPr>
          <w:rFonts w:hint="eastAsia" w:ascii="华文中宋" w:hAnsi="华文中宋" w:eastAsia="华文中宋" w:cs="华文中宋"/>
          <w:b/>
          <w:bCs/>
          <w:sz w:val="40"/>
          <w:szCs w:val="40"/>
        </w:rPr>
      </w:pPr>
      <w:r>
        <w:rPr>
          <w:rFonts w:hint="eastAsia" w:ascii="华文中宋" w:hAnsi="华文中宋" w:eastAsia="华文中宋" w:cs="华文中宋"/>
          <w:b/>
          <w:bCs/>
          <w:sz w:val="40"/>
          <w:szCs w:val="40"/>
        </w:rPr>
        <w:t>湘潭医卫职业技术学院</w:t>
      </w:r>
    </w:p>
    <w:p>
      <w:pPr>
        <w:widowControl/>
        <w:shd w:val="clear" w:color="auto" w:fill="FFFFFF"/>
        <w:spacing w:line="580" w:lineRule="exact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40"/>
          <w:szCs w:val="40"/>
        </w:rPr>
        <w:t xml:space="preserve"> “十大育人体系”优秀教育工作者评审推荐表</w:t>
      </w:r>
    </w:p>
    <w:tbl>
      <w:tblPr>
        <w:tblStyle w:val="5"/>
        <w:tblpPr w:leftFromText="180" w:rightFromText="180" w:vertAnchor="page" w:horzAnchor="margin" w:tblpXSpec="center" w:tblpY="3450"/>
        <w:tblW w:w="94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1681"/>
        <w:gridCol w:w="1569"/>
        <w:gridCol w:w="2507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姓  名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所在部门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9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  寸</w:t>
            </w:r>
          </w:p>
          <w:p>
            <w:pPr>
              <w:spacing w:line="62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政治面貌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职称职务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9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参评项目</w:t>
            </w:r>
          </w:p>
        </w:tc>
        <w:tc>
          <w:tcPr>
            <w:tcW w:w="5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课程育人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科研育人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实践育人</w:t>
            </w:r>
          </w:p>
          <w:p>
            <w:pPr>
              <w:spacing w:line="3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文化育人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网络育人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心理育人</w:t>
            </w:r>
          </w:p>
          <w:p>
            <w:pPr>
              <w:spacing w:line="3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管理育人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服务育人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资助育人</w:t>
            </w:r>
          </w:p>
          <w:p>
            <w:pPr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组织育人</w:t>
            </w:r>
          </w:p>
        </w:tc>
        <w:tc>
          <w:tcPr>
            <w:tcW w:w="19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基本情况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及主要事迹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（300字以内）</w:t>
            </w:r>
          </w:p>
        </w:tc>
        <w:tc>
          <w:tcPr>
            <w:tcW w:w="7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所在单位</w:t>
            </w:r>
          </w:p>
          <w:p>
            <w:pPr>
              <w:spacing w:line="62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推荐意见</w:t>
            </w:r>
          </w:p>
        </w:tc>
        <w:tc>
          <w:tcPr>
            <w:tcW w:w="7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            （盖  章）</w:t>
            </w:r>
          </w:p>
          <w:p>
            <w:pPr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评审部门</w:t>
            </w:r>
          </w:p>
          <w:p>
            <w:pPr>
              <w:spacing w:line="62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推荐意见</w:t>
            </w:r>
          </w:p>
        </w:tc>
        <w:tc>
          <w:tcPr>
            <w:tcW w:w="7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            （盖  章）</w:t>
            </w:r>
          </w:p>
          <w:p>
            <w:pPr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学校意见</w:t>
            </w:r>
          </w:p>
        </w:tc>
        <w:tc>
          <w:tcPr>
            <w:tcW w:w="7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           （盖  章）</w:t>
            </w:r>
          </w:p>
          <w:p>
            <w:pPr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                               年   月   日</w:t>
            </w:r>
          </w:p>
        </w:tc>
      </w:tr>
    </w:tbl>
    <w:p>
      <w:pPr>
        <w:spacing w:line="20" w:lineRule="exact"/>
        <w:rPr>
          <w:rFonts w:hint="eastAsia" w:ascii="仿宋" w:hAnsi="仿宋" w:eastAsia="仿宋" w:cs="宋体"/>
          <w:color w:val="000000"/>
          <w:sz w:val="32"/>
          <w:szCs w:val="32"/>
        </w:rPr>
      </w:pPr>
    </w:p>
    <w:p>
      <w:pPr>
        <w:spacing w:line="20" w:lineRule="exact"/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8147F"/>
    <w:rsid w:val="06045BE5"/>
    <w:rsid w:val="097C0151"/>
    <w:rsid w:val="0B180D96"/>
    <w:rsid w:val="0DBA51D3"/>
    <w:rsid w:val="131E298F"/>
    <w:rsid w:val="15A77C1D"/>
    <w:rsid w:val="2652626E"/>
    <w:rsid w:val="29EE7E7B"/>
    <w:rsid w:val="390623E2"/>
    <w:rsid w:val="3D34091F"/>
    <w:rsid w:val="3D67242A"/>
    <w:rsid w:val="462F266D"/>
    <w:rsid w:val="46F60192"/>
    <w:rsid w:val="48A30DC9"/>
    <w:rsid w:val="4AE23FDC"/>
    <w:rsid w:val="4AE74005"/>
    <w:rsid w:val="4C156FFD"/>
    <w:rsid w:val="4CCE1C55"/>
    <w:rsid w:val="534C7B24"/>
    <w:rsid w:val="5A47218C"/>
    <w:rsid w:val="5B5C3A56"/>
    <w:rsid w:val="5F60611C"/>
    <w:rsid w:val="61D80155"/>
    <w:rsid w:val="62DD5974"/>
    <w:rsid w:val="64A5184B"/>
    <w:rsid w:val="6B661736"/>
    <w:rsid w:val="6CFA1FD3"/>
    <w:rsid w:val="6F752297"/>
    <w:rsid w:val="730C4721"/>
    <w:rsid w:val="74D3017A"/>
    <w:rsid w:val="7A026F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FollowedHyperlink"/>
    <w:basedOn w:val="6"/>
    <w:qFormat/>
    <w:uiPriority w:val="0"/>
    <w:rPr>
      <w:color w:val="666666"/>
      <w:sz w:val="18"/>
      <w:szCs w:val="18"/>
      <w:u w:val="none"/>
    </w:rPr>
  </w:style>
  <w:style w:type="character" w:styleId="10">
    <w:name w:val="Hyperlink"/>
    <w:basedOn w:val="6"/>
    <w:qFormat/>
    <w:uiPriority w:val="0"/>
    <w:rPr>
      <w:color w:val="666666"/>
      <w:sz w:val="18"/>
      <w:szCs w:val="18"/>
      <w:u w:val="none"/>
    </w:rPr>
  </w:style>
  <w:style w:type="character" w:customStyle="1" w:styleId="11">
    <w:name w:val="splitflagstyle54306"/>
    <w:basedOn w:val="6"/>
    <w:qFormat/>
    <w:uiPriority w:val="0"/>
  </w:style>
  <w:style w:type="character" w:customStyle="1" w:styleId="12">
    <w:name w:val="datetime"/>
    <w:basedOn w:val="6"/>
    <w:qFormat/>
    <w:uiPriority w:val="0"/>
  </w:style>
  <w:style w:type="character" w:customStyle="1" w:styleId="13">
    <w:name w:val="datetime1"/>
    <w:basedOn w:val="6"/>
    <w:qFormat/>
    <w:uiPriority w:val="0"/>
  </w:style>
  <w:style w:type="character" w:customStyle="1" w:styleId="14">
    <w:name w:val="fwajaxinfo"/>
    <w:basedOn w:val="6"/>
    <w:qFormat/>
    <w:uiPriority w:val="0"/>
    <w:rPr>
      <w:color w:val="000000"/>
    </w:rPr>
  </w:style>
  <w:style w:type="character" w:customStyle="1" w:styleId="15">
    <w:name w:val="fwajaxicon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青春的大尾巴</cp:lastModifiedBy>
  <cp:lastPrinted>2019-10-28T08:20:29Z</cp:lastPrinted>
  <dcterms:modified xsi:type="dcterms:W3CDTF">2019-10-28T08:23:15Z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