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ascii="Times New Roman" w:hAnsi="Times New Roman" w:eastAsia="楷体_GB2312"/>
          <w:bCs/>
          <w:kern w:val="0"/>
          <w:sz w:val="32"/>
          <w:szCs w:val="32"/>
        </w:rPr>
      </w:pPr>
      <w:r>
        <w:rPr>
          <w:rFonts w:hint="eastAsia" w:ascii="Times New Roman" w:hAnsi="Times New Roman" w:eastAsia="方正小标宋_GBK"/>
          <w:bCs/>
          <w:kern w:val="0"/>
          <w:sz w:val="36"/>
          <w:szCs w:val="36"/>
          <w:lang w:val="en-US" w:eastAsia="zh-CN"/>
        </w:rPr>
        <w:t>2024</w:t>
      </w:r>
      <w:r>
        <w:rPr>
          <w:rFonts w:ascii="Times New Roman" w:hAnsi="Times New Roman" w:eastAsia="方正小标宋_GBK"/>
          <w:bCs/>
          <w:kern w:val="0"/>
          <w:sz w:val="36"/>
          <w:szCs w:val="36"/>
        </w:rPr>
        <w:t>年部门整体支出绩效目标表</w:t>
      </w:r>
    </w:p>
    <w:p>
      <w:pPr>
        <w:widowControl/>
        <w:tabs>
          <w:tab w:val="left" w:pos="2593"/>
        </w:tabs>
        <w:jc w:val="left"/>
        <w:rPr>
          <w:rFonts w:ascii="仿宋_GB2312" w:hAnsi="Times New Roman" w:eastAsia="仿宋_GB2312"/>
          <w:kern w:val="0"/>
          <w:szCs w:val="21"/>
        </w:rPr>
      </w:pPr>
      <w:r>
        <w:rPr>
          <w:rFonts w:hint="eastAsia" w:ascii="仿宋_GB2312" w:hAnsi="Times New Roman" w:eastAsia="仿宋_GB2312"/>
          <w:kern w:val="0"/>
          <w:sz w:val="24"/>
          <w:szCs w:val="21"/>
        </w:rPr>
        <w:t xml:space="preserve"> 填报单位：（盖章）</w:t>
      </w:r>
      <w:r>
        <w:rPr>
          <w:rFonts w:hint="eastAsia" w:ascii="仿宋_GB2312" w:hAnsi="Times New Roman" w:eastAsia="仿宋_GB2312"/>
          <w:kern w:val="0"/>
          <w:sz w:val="24"/>
          <w:szCs w:val="21"/>
          <w:lang w:val="en-US" w:eastAsia="zh-CN"/>
        </w:rPr>
        <w:t>湘潭医卫职业技术学院</w:t>
      </w:r>
      <w:r>
        <w:rPr>
          <w:rFonts w:hint="eastAsia" w:ascii="仿宋_GB2312" w:hAnsi="Times New Roman" w:eastAsia="仿宋_GB2312"/>
          <w:kern w:val="0"/>
          <w:szCs w:val="21"/>
        </w:rPr>
        <w:tab/>
      </w:r>
    </w:p>
    <w:tbl>
      <w:tblPr>
        <w:tblStyle w:val="7"/>
        <w:tblW w:w="92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4"/>
        <w:gridCol w:w="1129"/>
        <w:gridCol w:w="1813"/>
        <w:gridCol w:w="1012"/>
        <w:gridCol w:w="1018"/>
        <w:gridCol w:w="25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部门名称</w:t>
            </w:r>
          </w:p>
        </w:tc>
        <w:tc>
          <w:tcPr>
            <w:tcW w:w="7565" w:type="dxa"/>
            <w:gridSpan w:val="5"/>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lang w:val="en-US" w:eastAsia="zh-CN"/>
              </w:rPr>
              <w:t>湘潭医卫职业技术学院</w:t>
            </w:r>
            <w:r>
              <w:rPr>
                <w:rFonts w:hint="eastAsia" w:ascii="仿宋_GB2312" w:hAnsi="Times New Roman" w:eastAsia="仿宋_GB2312"/>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restart"/>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年度预算申请</w:t>
            </w:r>
            <w:r>
              <w:rPr>
                <w:rFonts w:hint="eastAsia" w:ascii="仿宋_GB2312" w:hAnsi="Times New Roman" w:eastAsia="仿宋_GB2312"/>
                <w:kern w:val="0"/>
                <w:szCs w:val="21"/>
              </w:rPr>
              <w:br w:type="textWrapping"/>
            </w:r>
            <w:r>
              <w:rPr>
                <w:rFonts w:hint="eastAsia" w:ascii="仿宋_GB2312" w:hAnsi="Times New Roman" w:eastAsia="仿宋_GB2312"/>
                <w:kern w:val="0"/>
                <w:szCs w:val="21"/>
              </w:rPr>
              <w:t>（万元）</w:t>
            </w:r>
          </w:p>
        </w:tc>
        <w:tc>
          <w:tcPr>
            <w:tcW w:w="7565" w:type="dxa"/>
            <w:gridSpan w:val="5"/>
            <w:vAlign w:val="center"/>
          </w:tcPr>
          <w:p>
            <w:pPr>
              <w:widowControl/>
              <w:jc w:val="left"/>
              <w:rPr>
                <w:rFonts w:hint="default" w:ascii="仿宋_GB2312" w:hAnsi="Times New Roman" w:eastAsia="仿宋_GB2312"/>
                <w:kern w:val="0"/>
                <w:szCs w:val="21"/>
                <w:lang w:val="en-US" w:eastAsia="zh-CN"/>
              </w:rPr>
            </w:pPr>
            <w:r>
              <w:rPr>
                <w:rFonts w:hint="eastAsia" w:ascii="仿宋_GB2312" w:hAnsi="Times New Roman" w:eastAsia="仿宋_GB2312"/>
                <w:kern w:val="0"/>
                <w:szCs w:val="21"/>
              </w:rPr>
              <w:t>资金总额：</w:t>
            </w:r>
            <w:r>
              <w:rPr>
                <w:rFonts w:hint="eastAsia" w:ascii="仿宋_GB2312" w:hAnsi="Times New Roman" w:eastAsia="仿宋_GB2312"/>
                <w:kern w:val="0"/>
                <w:szCs w:val="21"/>
                <w:lang w:val="en-US" w:eastAsia="zh-CN"/>
              </w:rPr>
              <w:t>15093.5万元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3954" w:type="dxa"/>
            <w:gridSpan w:val="3"/>
            <w:vAlign w:val="center"/>
          </w:tcPr>
          <w:p>
            <w:pPr>
              <w:widowControl/>
              <w:jc w:val="left"/>
              <w:rPr>
                <w:rFonts w:ascii="仿宋_GB2312" w:hAnsi="Times New Roman" w:eastAsia="仿宋_GB2312"/>
                <w:kern w:val="0"/>
                <w:szCs w:val="21"/>
              </w:rPr>
            </w:pPr>
            <w:r>
              <w:rPr>
                <w:rFonts w:hint="eastAsia" w:ascii="仿宋_GB2312" w:hAnsi="Times New Roman" w:eastAsia="仿宋_GB2312"/>
                <w:kern w:val="0"/>
                <w:szCs w:val="21"/>
              </w:rPr>
              <w:t>按收入性质分：</w:t>
            </w:r>
          </w:p>
        </w:tc>
        <w:tc>
          <w:tcPr>
            <w:tcW w:w="3611" w:type="dxa"/>
            <w:gridSpan w:val="2"/>
            <w:vAlign w:val="center"/>
          </w:tcPr>
          <w:p>
            <w:pPr>
              <w:widowControl/>
              <w:jc w:val="left"/>
              <w:rPr>
                <w:rFonts w:ascii="仿宋_GB2312" w:hAnsi="Times New Roman" w:eastAsia="仿宋_GB2312"/>
                <w:kern w:val="0"/>
                <w:szCs w:val="21"/>
              </w:rPr>
            </w:pPr>
            <w:r>
              <w:rPr>
                <w:rFonts w:hint="eastAsia" w:ascii="仿宋_GB2312" w:hAnsi="Times New Roman" w:eastAsia="仿宋_GB2312"/>
                <w:kern w:val="0"/>
                <w:szCs w:val="21"/>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3954" w:type="dxa"/>
            <w:gridSpan w:val="3"/>
            <w:vAlign w:val="center"/>
          </w:tcPr>
          <w:p>
            <w:pPr>
              <w:widowControl/>
              <w:jc w:val="left"/>
              <w:rPr>
                <w:rFonts w:hint="default" w:ascii="仿宋_GB2312" w:hAnsi="Times New Roman" w:eastAsia="仿宋_GB2312"/>
                <w:kern w:val="0"/>
                <w:szCs w:val="21"/>
                <w:lang w:val="en-US" w:eastAsia="zh-CN"/>
              </w:rPr>
            </w:pPr>
            <w:r>
              <w:rPr>
                <w:rFonts w:hint="eastAsia" w:ascii="仿宋_GB2312" w:hAnsi="Times New Roman" w:eastAsia="仿宋_GB2312"/>
                <w:kern w:val="0"/>
                <w:szCs w:val="21"/>
              </w:rPr>
              <w:t>其中：  一般公共预算</w:t>
            </w:r>
            <w:r>
              <w:rPr>
                <w:rFonts w:hint="eastAsia" w:ascii="仿宋_GB2312" w:hAnsi="Times New Roman" w:eastAsia="仿宋_GB2312"/>
                <w:kern w:val="0"/>
                <w:szCs w:val="21"/>
                <w:lang w:eastAsia="zh-CN"/>
              </w:rPr>
              <w:t>：</w:t>
            </w:r>
            <w:r>
              <w:rPr>
                <w:rFonts w:hint="eastAsia" w:ascii="仿宋_GB2312" w:hAnsi="Times New Roman" w:eastAsia="仿宋_GB2312"/>
                <w:kern w:val="0"/>
                <w:szCs w:val="21"/>
                <w:lang w:val="en-US" w:eastAsia="zh-CN"/>
              </w:rPr>
              <w:t>7768.5万元</w:t>
            </w:r>
          </w:p>
        </w:tc>
        <w:tc>
          <w:tcPr>
            <w:tcW w:w="3611" w:type="dxa"/>
            <w:gridSpan w:val="2"/>
            <w:vAlign w:val="center"/>
          </w:tcPr>
          <w:p>
            <w:pPr>
              <w:widowControl/>
              <w:jc w:val="left"/>
              <w:rPr>
                <w:rFonts w:hint="default" w:ascii="仿宋_GB2312" w:hAnsi="Times New Roman" w:eastAsia="仿宋_GB2312"/>
                <w:kern w:val="0"/>
                <w:szCs w:val="21"/>
                <w:lang w:val="en-US" w:eastAsia="zh-CN"/>
              </w:rPr>
            </w:pPr>
            <w:r>
              <w:rPr>
                <w:rFonts w:hint="eastAsia" w:ascii="仿宋_GB2312" w:hAnsi="Times New Roman" w:eastAsia="仿宋_GB2312"/>
                <w:kern w:val="0"/>
                <w:szCs w:val="21"/>
              </w:rPr>
              <w:t>其中： 基本支出：</w:t>
            </w:r>
            <w:r>
              <w:rPr>
                <w:rFonts w:hint="eastAsia" w:ascii="仿宋_GB2312" w:hAnsi="Times New Roman" w:eastAsia="仿宋_GB2312"/>
                <w:kern w:val="0"/>
                <w:szCs w:val="21"/>
                <w:lang w:val="en-US" w:eastAsia="zh-CN"/>
              </w:rPr>
              <w:t>7768.5万元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3954" w:type="dxa"/>
            <w:gridSpan w:val="3"/>
            <w:vAlign w:val="center"/>
          </w:tcPr>
          <w:p>
            <w:pPr>
              <w:widowControl/>
              <w:jc w:val="left"/>
              <w:rPr>
                <w:rFonts w:ascii="仿宋_GB2312" w:hAnsi="Times New Roman" w:eastAsia="仿宋_GB2312"/>
                <w:kern w:val="0"/>
                <w:szCs w:val="21"/>
              </w:rPr>
            </w:pPr>
            <w:r>
              <w:rPr>
                <w:rFonts w:hint="eastAsia" w:ascii="仿宋_GB2312" w:hAnsi="Times New Roman" w:eastAsia="仿宋_GB2312"/>
                <w:kern w:val="0"/>
                <w:szCs w:val="21"/>
              </w:rPr>
              <w:t xml:space="preserve">       政府性基金拨款：</w:t>
            </w:r>
          </w:p>
        </w:tc>
        <w:tc>
          <w:tcPr>
            <w:tcW w:w="3611" w:type="dxa"/>
            <w:gridSpan w:val="2"/>
            <w:vAlign w:val="center"/>
          </w:tcPr>
          <w:p>
            <w:pPr>
              <w:widowControl/>
              <w:jc w:val="left"/>
              <w:rPr>
                <w:rFonts w:hint="default" w:ascii="仿宋_GB2312" w:hAnsi="Times New Roman" w:eastAsia="仿宋_GB2312"/>
                <w:kern w:val="0"/>
                <w:szCs w:val="21"/>
                <w:lang w:val="en-US" w:eastAsia="zh-CN"/>
              </w:rPr>
            </w:pPr>
            <w:r>
              <w:rPr>
                <w:rFonts w:hint="eastAsia" w:ascii="仿宋_GB2312" w:hAnsi="Times New Roman" w:eastAsia="仿宋_GB2312"/>
                <w:kern w:val="0"/>
                <w:szCs w:val="21"/>
              </w:rPr>
              <w:t xml:space="preserve">       项目支出：</w:t>
            </w:r>
            <w:r>
              <w:rPr>
                <w:rFonts w:hint="eastAsia" w:ascii="仿宋_GB2312" w:hAnsi="Times New Roman" w:eastAsia="仿宋_GB2312"/>
                <w:kern w:val="0"/>
                <w:szCs w:val="21"/>
                <w:lang w:val="en-US" w:eastAsia="zh-CN"/>
              </w:rPr>
              <w:t>7325万元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3954" w:type="dxa"/>
            <w:gridSpan w:val="3"/>
            <w:vAlign w:val="center"/>
          </w:tcPr>
          <w:p>
            <w:pPr>
              <w:widowControl/>
              <w:jc w:val="left"/>
              <w:rPr>
                <w:rFonts w:hint="default" w:ascii="仿宋_GB2312" w:hAnsi="Times New Roman" w:eastAsia="仿宋_GB2312"/>
                <w:kern w:val="0"/>
                <w:szCs w:val="21"/>
                <w:lang w:val="en-US" w:eastAsia="zh-CN"/>
              </w:rPr>
            </w:pPr>
            <w:r>
              <w:rPr>
                <w:rFonts w:hint="eastAsia" w:ascii="仿宋_GB2312" w:hAnsi="Times New Roman" w:eastAsia="仿宋_GB2312"/>
                <w:kern w:val="0"/>
                <w:szCs w:val="21"/>
              </w:rPr>
              <w:t>纳入专户管理的非税收入拨款：</w:t>
            </w:r>
            <w:r>
              <w:rPr>
                <w:rFonts w:hint="eastAsia" w:ascii="仿宋_GB2312" w:hAnsi="Times New Roman" w:eastAsia="仿宋_GB2312"/>
                <w:kern w:val="0"/>
                <w:szCs w:val="21"/>
                <w:lang w:val="en-US" w:eastAsia="zh-CN"/>
              </w:rPr>
              <w:t>7325万元</w:t>
            </w:r>
          </w:p>
        </w:tc>
        <w:tc>
          <w:tcPr>
            <w:tcW w:w="3611" w:type="dxa"/>
            <w:gridSpan w:val="2"/>
            <w:vAlign w:val="center"/>
          </w:tcPr>
          <w:p>
            <w:pPr>
              <w:widowControl/>
              <w:jc w:val="left"/>
              <w:rPr>
                <w:rFonts w:ascii="仿宋_GB2312" w:hAnsi="Times New Roman" w:eastAsia="仿宋_GB2312"/>
                <w:kern w:val="0"/>
                <w:szCs w:val="21"/>
              </w:rPr>
            </w:pPr>
            <w:r>
              <w:rPr>
                <w:rFonts w:hint="eastAsia" w:ascii="仿宋_GB2312" w:hAnsi="Times New Roman" w:eastAsia="仿宋_GB2312"/>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3954" w:type="dxa"/>
            <w:gridSpan w:val="3"/>
            <w:vAlign w:val="center"/>
          </w:tcPr>
          <w:p>
            <w:pPr>
              <w:widowControl/>
              <w:jc w:val="left"/>
              <w:rPr>
                <w:rFonts w:ascii="仿宋_GB2312" w:hAnsi="Times New Roman" w:eastAsia="仿宋_GB2312"/>
                <w:kern w:val="0"/>
                <w:szCs w:val="21"/>
              </w:rPr>
            </w:pPr>
            <w:r>
              <w:rPr>
                <w:rFonts w:hint="eastAsia" w:ascii="仿宋_GB2312" w:hAnsi="Times New Roman" w:eastAsia="仿宋_GB2312"/>
                <w:kern w:val="0"/>
                <w:szCs w:val="21"/>
              </w:rPr>
              <w:t xml:space="preserve">             其他资金：</w:t>
            </w:r>
          </w:p>
        </w:tc>
        <w:tc>
          <w:tcPr>
            <w:tcW w:w="3611" w:type="dxa"/>
            <w:gridSpan w:val="2"/>
            <w:vAlign w:val="center"/>
          </w:tcPr>
          <w:p>
            <w:pPr>
              <w:widowControl/>
              <w:jc w:val="left"/>
              <w:rPr>
                <w:rFonts w:ascii="仿宋_GB2312" w:hAnsi="Times New Roman"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734" w:type="dxa"/>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部门职能</w:t>
            </w:r>
          </w:p>
          <w:p>
            <w:pPr>
              <w:widowControl/>
              <w:jc w:val="center"/>
              <w:rPr>
                <w:rFonts w:ascii="仿宋_GB2312" w:hAnsi="Times New Roman" w:eastAsia="仿宋_GB2312"/>
                <w:kern w:val="0"/>
                <w:szCs w:val="21"/>
              </w:rPr>
            </w:pPr>
            <w:r>
              <w:rPr>
                <w:rFonts w:hint="eastAsia" w:ascii="仿宋_GB2312" w:hAnsi="Times New Roman" w:eastAsia="仿宋_GB2312"/>
                <w:kern w:val="0"/>
                <w:szCs w:val="21"/>
              </w:rPr>
              <w:t>职责概述</w:t>
            </w:r>
          </w:p>
        </w:tc>
        <w:tc>
          <w:tcPr>
            <w:tcW w:w="7565" w:type="dxa"/>
            <w:gridSpan w:val="5"/>
            <w:vAlign w:val="center"/>
          </w:tcPr>
          <w:p>
            <w:pPr>
              <w:widowControl/>
              <w:ind w:firstLine="420" w:firstLineChars="200"/>
              <w:jc w:val="left"/>
              <w:rPr>
                <w:rFonts w:ascii="仿宋_GB2312" w:hAnsi="Times New Roman" w:eastAsia="仿宋_GB2312"/>
                <w:kern w:val="0"/>
                <w:szCs w:val="21"/>
              </w:rPr>
            </w:pPr>
            <w:r>
              <w:rPr>
                <w:rFonts w:hint="eastAsia" w:ascii="仿宋_GB2312" w:hAnsi="Times New Roman" w:eastAsia="仿宋_GB2312"/>
                <w:kern w:val="0"/>
                <w:szCs w:val="21"/>
              </w:rPr>
              <w:t>湘潭医卫职业技术学院是面向全国招生的公办全日制医卫类高职院校。学校秉承“广德爱众、励能善医”的校训，坚持“立德树人、砺能就业、特色兴校”的办学理念，加强党的领导，坚持依法办学、民主治校，深化教育教学改革，推进产教融合校企（院）合，落实立德树人根本任务，提高人才培养质量，服务地方经济发展特别是医疗卫生事业发展，早日建成楚怡高水平高职学校。目前在校学生13700人；编委核定编制800人，在职在编教职工5</w:t>
            </w:r>
            <w:r>
              <w:rPr>
                <w:rFonts w:hint="eastAsia" w:ascii="仿宋_GB2312" w:hAnsi="Times New Roman" w:eastAsia="仿宋_GB2312"/>
                <w:kern w:val="0"/>
                <w:szCs w:val="21"/>
                <w:lang w:val="en-US" w:eastAsia="zh-CN"/>
              </w:rPr>
              <w:t>03</w:t>
            </w:r>
            <w:r>
              <w:rPr>
                <w:rFonts w:hint="eastAsia" w:ascii="仿宋_GB2312" w:hAnsi="Times New Roman" w:eastAsia="仿宋_GB2312"/>
                <w:kern w:val="0"/>
                <w:szCs w:val="21"/>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5" w:hRule="atLeast"/>
          <w:jc w:val="center"/>
        </w:trPr>
        <w:tc>
          <w:tcPr>
            <w:tcW w:w="1734" w:type="dxa"/>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整体绩效目标</w:t>
            </w:r>
          </w:p>
        </w:tc>
        <w:tc>
          <w:tcPr>
            <w:tcW w:w="7565" w:type="dxa"/>
            <w:gridSpan w:val="5"/>
            <w:vAlign w:val="center"/>
          </w:tcPr>
          <w:p>
            <w:pPr>
              <w:widowControl/>
              <w:jc w:val="left"/>
              <w:rPr>
                <w:rFonts w:hint="eastAsia" w:ascii="仿宋_GB2312" w:hAnsi="Times New Roman" w:eastAsia="仿宋_GB2312"/>
                <w:kern w:val="0"/>
                <w:sz w:val="21"/>
                <w:szCs w:val="21"/>
                <w:lang w:val="en-US" w:eastAsia="zh-CN"/>
              </w:rPr>
            </w:pPr>
            <w:r>
              <w:rPr>
                <w:rFonts w:hint="eastAsia" w:ascii="仿宋_GB2312" w:hAnsi="Times New Roman" w:eastAsia="仿宋_GB2312"/>
                <w:kern w:val="0"/>
                <w:sz w:val="21"/>
                <w:szCs w:val="21"/>
                <w:lang w:val="en-US" w:eastAsia="zh-CN"/>
              </w:rPr>
              <w:t xml:space="preserve">1.落实预决算和绩效信息公开。                                                  </w:t>
            </w:r>
          </w:p>
          <w:p>
            <w:pPr>
              <w:widowControl/>
              <w:jc w:val="left"/>
              <w:rPr>
                <w:rFonts w:hint="eastAsia" w:ascii="仿宋_GB2312" w:hAnsi="Times New Roman" w:eastAsia="仿宋_GB2312"/>
                <w:kern w:val="0"/>
                <w:sz w:val="21"/>
                <w:szCs w:val="21"/>
                <w:lang w:val="en-US" w:eastAsia="zh-CN"/>
              </w:rPr>
            </w:pPr>
            <w:r>
              <w:rPr>
                <w:rFonts w:hint="eastAsia" w:ascii="仿宋_GB2312" w:hAnsi="Times New Roman" w:eastAsia="仿宋_GB2312"/>
                <w:kern w:val="0"/>
                <w:sz w:val="21"/>
                <w:szCs w:val="21"/>
                <w:lang w:val="en-US" w:eastAsia="zh-CN"/>
              </w:rPr>
              <w:t xml:space="preserve">2.坚持过“紧日子”总基调，勤俭办一切事业，预算安排尽力而为、量力而行，优化支出结构，加强“三公”经费管理，提高资金使用效益。                                                  3.全面持续推进“双高”建设，按照双高校、高水平专业群分配的年度建设任务，全力推进临床医学专业群、护理专业群、康复治疗技术专业群建设。                                                                                                    4.加强专业建设。继续开展临床医学、助产等专业的人才培养模式改革。 紧紧围绕教学工作中心地位。                                                                        5.加强师资队伍建设。持续抓好师德师风建设，加强骨干名师、导师大师、高层人才培养，建立教师发展中心，提高教师教学能力和水平。                        </w:t>
            </w:r>
          </w:p>
          <w:p>
            <w:pPr>
              <w:widowControl/>
              <w:jc w:val="left"/>
              <w:rPr>
                <w:rFonts w:hint="eastAsia" w:ascii="仿宋_GB2312" w:hAnsi="Times New Roman" w:eastAsia="仿宋_GB2312"/>
                <w:kern w:val="0"/>
                <w:szCs w:val="21"/>
                <w:lang w:val="en-US" w:eastAsia="zh-CN"/>
              </w:rPr>
            </w:pPr>
            <w:r>
              <w:rPr>
                <w:rFonts w:hint="eastAsia" w:ascii="仿宋_GB2312" w:hAnsi="Times New Roman" w:eastAsia="仿宋_GB2312"/>
                <w:kern w:val="0"/>
                <w:sz w:val="21"/>
                <w:szCs w:val="21"/>
                <w:lang w:val="en-US" w:eastAsia="zh-CN"/>
              </w:rPr>
              <w:t>6.提升科研和服务能力。积极开展各级各类科研项</w:t>
            </w:r>
            <w:bookmarkStart w:id="0" w:name="_GoBack"/>
            <w:bookmarkEnd w:id="0"/>
            <w:r>
              <w:rPr>
                <w:rFonts w:hint="eastAsia" w:ascii="仿宋_GB2312" w:hAnsi="Times New Roman" w:eastAsia="仿宋_GB2312"/>
                <w:kern w:val="0"/>
                <w:sz w:val="21"/>
                <w:szCs w:val="21"/>
                <w:lang w:val="en-US" w:eastAsia="zh-CN"/>
              </w:rPr>
              <w:t>目和科研成果申报培训、指导、申报推荐、申报组织、年度检查、结项（题）验收等工作；积极开展科普工作，大力开展各类社会培训，提升服务社会能力。                                                                                                                                                                7.严抓教学常规管理，加强学生日常管理。开展好常规性教学督导和中心工作、重点工作专项督查，严肃课堂纪律与考试纪律，严格执行教学事故责任追究制度，全面推进AIC学生管理平台的使用。                                                                               8.抓好招生就业工作。圆满完成年度招生任务，到位率不低于97%。全面推进学生就业，承办医卫类专场招聘会，年终就业率达93%以上，留潭率达到25%以上。                                                                                9.改善教学环境，推进智慧化校园建设。开展安全教育，加强校园安全与安防建设，确保校园和谐平安稳定，推进信息化标杆校建设，高度重视网络安全工作。进一步优化育人环境。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restart"/>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部门整体支出</w:t>
            </w:r>
          </w:p>
          <w:p>
            <w:pPr>
              <w:jc w:val="center"/>
              <w:rPr>
                <w:rFonts w:ascii="仿宋_GB2312" w:hAnsi="Times New Roman" w:eastAsia="仿宋_GB2312"/>
                <w:kern w:val="0"/>
                <w:szCs w:val="21"/>
              </w:rPr>
            </w:pPr>
            <w:r>
              <w:rPr>
                <w:rFonts w:hint="eastAsia" w:ascii="仿宋_GB2312" w:hAnsi="Times New Roman" w:eastAsia="仿宋_GB2312"/>
                <w:kern w:val="0"/>
                <w:szCs w:val="21"/>
              </w:rPr>
              <w:t>年度绩效指标</w:t>
            </w:r>
          </w:p>
        </w:tc>
        <w:tc>
          <w:tcPr>
            <w:tcW w:w="1129" w:type="dxa"/>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一级指标</w:t>
            </w:r>
          </w:p>
        </w:tc>
        <w:tc>
          <w:tcPr>
            <w:tcW w:w="1813" w:type="dxa"/>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二级指标</w:t>
            </w:r>
          </w:p>
        </w:tc>
        <w:tc>
          <w:tcPr>
            <w:tcW w:w="2030" w:type="dxa"/>
            <w:gridSpan w:val="2"/>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三级指标</w:t>
            </w:r>
          </w:p>
        </w:tc>
        <w:tc>
          <w:tcPr>
            <w:tcW w:w="2593" w:type="dxa"/>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指标值及单位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restart"/>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产出指标</w:t>
            </w:r>
          </w:p>
        </w:tc>
        <w:tc>
          <w:tcPr>
            <w:tcW w:w="1813" w:type="dxa"/>
            <w:vMerge w:val="restart"/>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数量指标</w:t>
            </w: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 w:val="18"/>
                <w:szCs w:val="18"/>
              </w:rPr>
              <w:t>完成招生任务，完成实习就业工作，年终就业率93%以上，留潭就业率25%以上。</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Merge w:val="continue"/>
            <w:vAlign w:val="center"/>
          </w:tcPr>
          <w:p>
            <w:pPr>
              <w:jc w:val="center"/>
              <w:rPr>
                <w:rFonts w:ascii="仿宋_GB2312" w:hAnsi="Times New Roman" w:eastAsia="仿宋_GB2312"/>
                <w:kern w:val="0"/>
                <w:szCs w:val="21"/>
              </w:rPr>
            </w:pPr>
          </w:p>
        </w:tc>
        <w:tc>
          <w:tcPr>
            <w:tcW w:w="2030" w:type="dxa"/>
            <w:gridSpan w:val="2"/>
            <w:vAlign w:val="center"/>
          </w:tcPr>
          <w:p>
            <w:pPr>
              <w:jc w:val="left"/>
              <w:rPr>
                <w:rFonts w:ascii="仿宋_GB2312" w:hAnsi="Times New Roman" w:eastAsia="仿宋_GB2312"/>
                <w:kern w:val="0"/>
                <w:szCs w:val="21"/>
              </w:rPr>
            </w:pPr>
            <w:r>
              <w:rPr>
                <w:rFonts w:hint="eastAsia" w:ascii="仿宋_GB2312" w:hAnsi="Times New Roman" w:eastAsia="仿宋_GB2312"/>
                <w:kern w:val="0"/>
                <w:szCs w:val="21"/>
              </w:rPr>
              <w:t>完成全年的教学科研任务。</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Merge w:val="continue"/>
            <w:vAlign w:val="center"/>
          </w:tcPr>
          <w:p>
            <w:pPr>
              <w:jc w:val="center"/>
              <w:rPr>
                <w:rFonts w:ascii="仿宋_GB2312" w:hAnsi="Times New Roman" w:eastAsia="仿宋_GB2312"/>
                <w:kern w:val="0"/>
                <w:szCs w:val="21"/>
              </w:rPr>
            </w:pP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完成招聘工作任务。</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Merge w:val="continue"/>
            <w:vAlign w:val="center"/>
          </w:tcPr>
          <w:p>
            <w:pPr>
              <w:jc w:val="center"/>
              <w:rPr>
                <w:rFonts w:ascii="仿宋_GB2312" w:hAnsi="Times New Roman" w:eastAsia="仿宋_GB2312"/>
                <w:kern w:val="0"/>
                <w:szCs w:val="21"/>
              </w:rPr>
            </w:pP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“三公经费”不高于上年水平。</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Merge w:val="continue"/>
            <w:vAlign w:val="center"/>
          </w:tcPr>
          <w:p>
            <w:pPr>
              <w:jc w:val="center"/>
              <w:rPr>
                <w:rFonts w:ascii="仿宋_GB2312" w:hAnsi="Times New Roman" w:eastAsia="仿宋_GB2312"/>
                <w:kern w:val="0"/>
                <w:szCs w:val="21"/>
              </w:rPr>
            </w:pPr>
          </w:p>
        </w:tc>
        <w:tc>
          <w:tcPr>
            <w:tcW w:w="2030" w:type="dxa"/>
            <w:gridSpan w:val="2"/>
            <w:vAlign w:val="center"/>
          </w:tcPr>
          <w:p>
            <w:pPr>
              <w:jc w:val="left"/>
              <w:rPr>
                <w:rFonts w:hint="eastAsia" w:ascii="仿宋_GB2312" w:hAnsi="Times New Roman" w:eastAsia="仿宋_GB2312"/>
                <w:kern w:val="0"/>
                <w:szCs w:val="21"/>
              </w:rPr>
            </w:pPr>
            <w:r>
              <w:rPr>
                <w:rFonts w:hint="eastAsia" w:ascii="仿宋_GB2312" w:hAnsi="Times New Roman" w:eastAsia="仿宋_GB2312"/>
                <w:kern w:val="0"/>
                <w:szCs w:val="21"/>
              </w:rPr>
              <w:t>学生奖助资金按时足额到位。</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Merge w:val="restart"/>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质量指标</w:t>
            </w: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专业验收、专业技能抽考和毕业设计抽查合格率。</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Merge w:val="continue"/>
            <w:vAlign w:val="center"/>
          </w:tcPr>
          <w:p>
            <w:pPr>
              <w:jc w:val="center"/>
              <w:rPr>
                <w:rFonts w:ascii="仿宋_GB2312" w:hAnsi="Times New Roman" w:eastAsia="仿宋_GB2312"/>
                <w:kern w:val="0"/>
                <w:szCs w:val="21"/>
              </w:rPr>
            </w:pP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继续推进临床医学、助产等专业人才培养模式改革。</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成本指标</w:t>
            </w: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坚持过“紧日子”总基调，勤俭办一切事业，收支平衡。</w:t>
            </w:r>
          </w:p>
        </w:tc>
        <w:tc>
          <w:tcPr>
            <w:tcW w:w="2593" w:type="dxa"/>
            <w:vAlign w:val="center"/>
          </w:tcPr>
          <w:p>
            <w:pPr>
              <w:jc w:val="center"/>
              <w:rPr>
                <w:rFonts w:hint="eastAsia"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增收节支</w:t>
            </w:r>
          </w:p>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收支平衡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Merge w:val="restart"/>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时效指标</w:t>
            </w:r>
          </w:p>
        </w:tc>
        <w:tc>
          <w:tcPr>
            <w:tcW w:w="2030" w:type="dxa"/>
            <w:gridSpan w:val="2"/>
            <w:vAlign w:val="center"/>
          </w:tcPr>
          <w:p>
            <w:pPr>
              <w:jc w:val="center"/>
              <w:rPr>
                <w:rFonts w:ascii="仿宋_GB2312" w:hAnsi="Times New Roman" w:eastAsia="仿宋_GB2312"/>
                <w:kern w:val="0"/>
                <w:szCs w:val="21"/>
              </w:rPr>
            </w:pPr>
            <w:r>
              <w:rPr>
                <w:rFonts w:hint="eastAsia" w:ascii="仿宋" w:hAnsi="仿宋" w:eastAsia="仿宋" w:cs="仿宋"/>
              </w:rPr>
              <w:t>预决算公开,预算绩效公开。</w:t>
            </w:r>
          </w:p>
        </w:tc>
        <w:tc>
          <w:tcPr>
            <w:tcW w:w="2593" w:type="dxa"/>
            <w:vAlign w:val="center"/>
          </w:tcPr>
          <w:p>
            <w:pPr>
              <w:jc w:val="center"/>
              <w:rPr>
                <w:rFonts w:hint="eastAsia"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按时公开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4" w:type="dxa"/>
            <w:vMerge w:val="continue"/>
            <w:vAlign w:val="center"/>
          </w:tcPr>
          <w:p>
            <w:pPr>
              <w:widowControl/>
              <w:jc w:val="center"/>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Merge w:val="continue"/>
            <w:vAlign w:val="center"/>
          </w:tcPr>
          <w:p>
            <w:pPr>
              <w:jc w:val="center"/>
              <w:rPr>
                <w:rFonts w:ascii="仿宋_GB2312" w:hAnsi="Times New Roman" w:eastAsia="仿宋_GB2312"/>
                <w:kern w:val="0"/>
                <w:szCs w:val="21"/>
              </w:rPr>
            </w:pP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政府采购执行率。</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1129" w:type="dxa"/>
            <w:vMerge w:val="restart"/>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rPr>
              <w:t>效益指标</w:t>
            </w:r>
          </w:p>
        </w:tc>
        <w:tc>
          <w:tcPr>
            <w:tcW w:w="1813" w:type="dxa"/>
            <w:vMerge w:val="restart"/>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经济效益指标</w:t>
            </w: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完成年度收入工作。</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Merge w:val="continue"/>
            <w:vAlign w:val="center"/>
          </w:tcPr>
          <w:p>
            <w:pPr>
              <w:jc w:val="center"/>
              <w:rPr>
                <w:rFonts w:ascii="仿宋_GB2312" w:hAnsi="Times New Roman" w:eastAsia="仿宋_GB2312"/>
                <w:kern w:val="0"/>
                <w:szCs w:val="21"/>
              </w:rPr>
            </w:pP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提高资金使用效益。</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资金利用率100%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社会效益指标</w:t>
            </w: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 w:val="18"/>
                <w:szCs w:val="18"/>
              </w:rPr>
              <w:t>严抓教学管理，服务学生成长成才，服务地方经济发展特别是医疗卫生事业发展。</w:t>
            </w:r>
          </w:p>
        </w:tc>
        <w:tc>
          <w:tcPr>
            <w:tcW w:w="2593" w:type="dxa"/>
            <w:vAlign w:val="center"/>
          </w:tcPr>
          <w:p>
            <w:pPr>
              <w:jc w:val="center"/>
              <w:rPr>
                <w:rFonts w:hint="default"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生态效益指标</w:t>
            </w: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推进智慧校园建设，构建和谐平安校园，全面提升育人环境。</w:t>
            </w:r>
          </w:p>
        </w:tc>
        <w:tc>
          <w:tcPr>
            <w:tcW w:w="2593" w:type="dxa"/>
            <w:vAlign w:val="center"/>
          </w:tcPr>
          <w:p>
            <w:pPr>
              <w:jc w:val="center"/>
              <w:rPr>
                <w:rFonts w:hint="eastAsia"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可持续影响指标</w:t>
            </w: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落实立德树人根本任务，提高人才培养质量和办学效益，确保“双高”校建设工作成效。</w:t>
            </w:r>
          </w:p>
        </w:tc>
        <w:tc>
          <w:tcPr>
            <w:tcW w:w="2593" w:type="dxa"/>
            <w:vAlign w:val="center"/>
          </w:tcPr>
          <w:p>
            <w:pPr>
              <w:jc w:val="center"/>
              <w:rPr>
                <w:rFonts w:hint="eastAsia" w:ascii="仿宋_GB2312" w:hAnsi="Times New Roman" w:eastAsia="仿宋_GB2312"/>
                <w:kern w:val="0"/>
                <w:szCs w:val="21"/>
                <w:lang w:val="en-US" w:eastAsia="zh-CN"/>
              </w:rPr>
            </w:pPr>
            <w:r>
              <w:rPr>
                <w:rFonts w:hint="eastAsia" w:ascii="仿宋_GB2312" w:hAnsi="Times New Roman" w:eastAsia="仿宋_GB2312"/>
                <w:kern w:val="0"/>
                <w:szCs w:val="21"/>
                <w:lang w:val="en-US" w:eastAsia="zh-CN"/>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34" w:type="dxa"/>
            <w:vMerge w:val="continue"/>
            <w:vAlign w:val="center"/>
          </w:tcPr>
          <w:p>
            <w:pPr>
              <w:widowControl/>
              <w:jc w:val="left"/>
              <w:rPr>
                <w:rFonts w:ascii="仿宋_GB2312" w:hAnsi="Times New Roman" w:eastAsia="仿宋_GB2312"/>
                <w:kern w:val="0"/>
                <w:szCs w:val="21"/>
              </w:rPr>
            </w:pPr>
          </w:p>
        </w:tc>
        <w:tc>
          <w:tcPr>
            <w:tcW w:w="1129" w:type="dxa"/>
            <w:vMerge w:val="continue"/>
            <w:vAlign w:val="center"/>
          </w:tcPr>
          <w:p>
            <w:pPr>
              <w:widowControl/>
              <w:jc w:val="center"/>
              <w:rPr>
                <w:rFonts w:ascii="仿宋_GB2312" w:hAnsi="Times New Roman" w:eastAsia="仿宋_GB2312"/>
                <w:kern w:val="0"/>
                <w:szCs w:val="21"/>
              </w:rPr>
            </w:pPr>
          </w:p>
        </w:tc>
        <w:tc>
          <w:tcPr>
            <w:tcW w:w="1813"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社会公众或服务对象满意度</w:t>
            </w:r>
          </w:p>
        </w:tc>
        <w:tc>
          <w:tcPr>
            <w:tcW w:w="2030" w:type="dxa"/>
            <w:gridSpan w:val="2"/>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职工满意度95%以上，学生满意度95%以上。</w:t>
            </w:r>
          </w:p>
        </w:tc>
        <w:tc>
          <w:tcPr>
            <w:tcW w:w="2593" w:type="dxa"/>
            <w:vAlign w:val="center"/>
          </w:tcPr>
          <w:p>
            <w:pPr>
              <w:jc w:val="center"/>
              <w:rPr>
                <w:rFonts w:ascii="仿宋_GB2312" w:hAnsi="Times New Roman" w:eastAsia="仿宋_GB2312"/>
                <w:kern w:val="0"/>
                <w:szCs w:val="21"/>
              </w:rPr>
            </w:pPr>
            <w:r>
              <w:rPr>
                <w:rFonts w:hint="eastAsia" w:ascii="仿宋_GB2312" w:hAnsi="Times New Roman" w:eastAsia="仿宋_GB2312"/>
                <w:kern w:val="0"/>
                <w:szCs w:val="21"/>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atLeast"/>
          <w:jc w:val="center"/>
        </w:trPr>
        <w:tc>
          <w:tcPr>
            <w:tcW w:w="2863" w:type="dxa"/>
            <w:gridSpan w:val="2"/>
            <w:vAlign w:val="center"/>
          </w:tcPr>
          <w:p>
            <w:pPr>
              <w:widowControl/>
              <w:jc w:val="center"/>
              <w:rPr>
                <w:rFonts w:ascii="仿宋_GB2312" w:hAnsi="Times New Roman" w:eastAsia="仿宋_GB2312"/>
                <w:kern w:val="0"/>
                <w:szCs w:val="21"/>
              </w:rPr>
            </w:pPr>
            <w:r>
              <w:rPr>
                <w:rFonts w:hint="eastAsia" w:ascii="仿宋_GB2312" w:hAnsi="Times New Roman" w:eastAsia="仿宋_GB2312"/>
                <w:kern w:val="0"/>
                <w:szCs w:val="21"/>
                <w:lang w:eastAsia="zh-CN"/>
              </w:rPr>
              <w:t>财政部门审核意见</w:t>
            </w:r>
          </w:p>
        </w:tc>
        <w:tc>
          <w:tcPr>
            <w:tcW w:w="6436" w:type="dxa"/>
            <w:gridSpan w:val="4"/>
            <w:vAlign w:val="center"/>
          </w:tcPr>
          <w:p>
            <w:pPr>
              <w:jc w:val="center"/>
              <w:rPr>
                <w:rFonts w:ascii="仿宋_GB2312" w:hAnsi="Times New Roman" w:eastAsia="仿宋_GB2312"/>
                <w:kern w:val="0"/>
                <w:szCs w:val="21"/>
              </w:rPr>
            </w:pPr>
          </w:p>
        </w:tc>
      </w:tr>
    </w:tbl>
    <w:p>
      <w:pPr>
        <w:widowControl/>
        <w:tabs>
          <w:tab w:val="left" w:pos="1333"/>
          <w:tab w:val="left" w:pos="3793"/>
          <w:tab w:val="left" w:pos="5853"/>
        </w:tabs>
        <w:jc w:val="left"/>
        <w:rPr>
          <w:rFonts w:hint="eastAsia" w:ascii="Times New Roman" w:hAnsi="Times New Roman" w:eastAsia="黑体"/>
          <w:kern w:val="0"/>
          <w:sz w:val="32"/>
          <w:szCs w:val="32"/>
          <w:lang w:eastAsia="zh-CN"/>
        </w:rPr>
      </w:pPr>
      <w:r>
        <w:rPr>
          <w:rFonts w:hint="eastAsia" w:ascii="仿宋_GB2312" w:hAnsi="Times New Roman" w:eastAsia="仿宋_GB2312"/>
          <w:kern w:val="0"/>
          <w:szCs w:val="21"/>
        </w:rPr>
        <w:t>填表人：</w:t>
      </w:r>
      <w:r>
        <w:rPr>
          <w:rFonts w:hint="eastAsia" w:ascii="仿宋_GB2312" w:hAnsi="Times New Roman" w:eastAsia="仿宋_GB2312"/>
          <w:kern w:val="0"/>
          <w:szCs w:val="21"/>
          <w:lang w:val="en-US" w:eastAsia="zh-CN"/>
        </w:rPr>
        <w:t>谭金维</w:t>
      </w:r>
      <w:r>
        <w:rPr>
          <w:rFonts w:hint="eastAsia" w:ascii="仿宋_GB2312" w:hAnsi="Times New Roman" w:eastAsia="仿宋_GB2312"/>
          <w:kern w:val="0"/>
          <w:szCs w:val="21"/>
        </w:rPr>
        <w:t xml:space="preserve"> 联系电话：</w:t>
      </w:r>
      <w:r>
        <w:rPr>
          <w:rFonts w:hint="eastAsia" w:ascii="仿宋_GB2312" w:hAnsi="Times New Roman" w:eastAsia="仿宋_GB2312"/>
          <w:kern w:val="0"/>
          <w:szCs w:val="21"/>
          <w:lang w:val="en-US" w:eastAsia="zh-CN"/>
        </w:rPr>
        <w:t>13647320989</w:t>
      </w:r>
      <w:r>
        <w:rPr>
          <w:rFonts w:hint="eastAsia" w:ascii="仿宋_GB2312" w:hAnsi="Times New Roman" w:eastAsia="仿宋_GB2312"/>
          <w:kern w:val="0"/>
          <w:szCs w:val="21"/>
        </w:rPr>
        <w:t xml:space="preserve">  填报日期：</w:t>
      </w:r>
      <w:r>
        <w:rPr>
          <w:rFonts w:hint="eastAsia" w:ascii="仿宋_GB2312" w:hAnsi="Times New Roman" w:eastAsia="仿宋_GB2312"/>
          <w:kern w:val="0"/>
          <w:szCs w:val="21"/>
          <w:lang w:val="en-US" w:eastAsia="zh-CN"/>
        </w:rPr>
        <w:t>2023.12.10</w:t>
      </w:r>
      <w:r>
        <w:rPr>
          <w:rFonts w:hint="eastAsia" w:ascii="仿宋_GB2312" w:hAnsi="Times New Roman" w:eastAsia="仿宋_GB2312"/>
          <w:kern w:val="0"/>
          <w:szCs w:val="21"/>
        </w:rPr>
        <w:t xml:space="preserve">  单位负责人签字：</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汉仪书宋二S">
    <w:altName w:val="宋体"/>
    <w:panose1 w:val="00020600040101010101"/>
    <w:charset w:val="86"/>
    <w:family w:val="auto"/>
    <w:pitch w:val="default"/>
    <w:sig w:usb0="00000000" w:usb1="00000000" w:usb2="00000016"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-421005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33.15pt;height:144pt;width:144pt;mso-position-horizontal:outside;mso-position-horizontal-relative:margin;mso-wrap-style:none;z-index:251659264;mso-width-relative:page;mso-height-relative:page;" filled="f" stroked="f" coordsize="21600,21600" o:gfxdata="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NkGwHVAAAACAEAAA8AAAAAAAAAAQAgAAAAIgAA&#10;AGRycy9kb3ducmV2LnhtbFBLAQIUABQAAAAIAIdO4kDdrfon0gEAAKIDAAAOAAAAAAAAAAEAIAAA&#10;ACQBAABkcnMvZTJvRG9jLnhtbFBLBQYAAAAABgAGAFkBAABoBQAAAAA=&#10;">
              <v:fill on="f" focussize="0,0"/>
              <v:stroke on="f" weight="0.5pt"/>
              <v:imagedata o:title=""/>
              <o:lock v:ext="edit" aspectratio="f"/>
              <v:textbox inset="0mm,0mm,0mm,0mm" style="mso-fit-shape-to-text:t;">
                <w:txbxContent>
                  <w:p>
                    <w:pPr>
                      <w:pStyle w:val="4"/>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MWE1MTFkZGYzYWNmMTRiMTAyMjQyOGZlMTQ2NTQifQ=="/>
  </w:docVars>
  <w:rsids>
    <w:rsidRoot w:val="00000000"/>
    <w:rsid w:val="00D23242"/>
    <w:rsid w:val="00F91D84"/>
    <w:rsid w:val="039F60D0"/>
    <w:rsid w:val="04094F46"/>
    <w:rsid w:val="04B07B5C"/>
    <w:rsid w:val="05B64EE1"/>
    <w:rsid w:val="06334642"/>
    <w:rsid w:val="06732DD2"/>
    <w:rsid w:val="08A54D99"/>
    <w:rsid w:val="08E463DA"/>
    <w:rsid w:val="09931095"/>
    <w:rsid w:val="09E244F6"/>
    <w:rsid w:val="0AE12A84"/>
    <w:rsid w:val="0B4357EB"/>
    <w:rsid w:val="0C6A30DA"/>
    <w:rsid w:val="0D7330E0"/>
    <w:rsid w:val="0D9D7E15"/>
    <w:rsid w:val="0DEB14A0"/>
    <w:rsid w:val="0F5D461F"/>
    <w:rsid w:val="114C494B"/>
    <w:rsid w:val="11DD55A3"/>
    <w:rsid w:val="128C7859"/>
    <w:rsid w:val="15211EC4"/>
    <w:rsid w:val="15420631"/>
    <w:rsid w:val="174165D4"/>
    <w:rsid w:val="175F6CC4"/>
    <w:rsid w:val="17C50FB3"/>
    <w:rsid w:val="18337E84"/>
    <w:rsid w:val="195B4E3C"/>
    <w:rsid w:val="19834C82"/>
    <w:rsid w:val="1A6D2CA0"/>
    <w:rsid w:val="1C4E118D"/>
    <w:rsid w:val="1D9E7BF9"/>
    <w:rsid w:val="1E450758"/>
    <w:rsid w:val="1E634C56"/>
    <w:rsid w:val="1F6E3CDF"/>
    <w:rsid w:val="1FBC0EEE"/>
    <w:rsid w:val="1FEE4C9C"/>
    <w:rsid w:val="1FEEBBF9"/>
    <w:rsid w:val="20D61B3B"/>
    <w:rsid w:val="21607B93"/>
    <w:rsid w:val="226E4251"/>
    <w:rsid w:val="22F664C5"/>
    <w:rsid w:val="23DD1433"/>
    <w:rsid w:val="244F40DF"/>
    <w:rsid w:val="25B94440"/>
    <w:rsid w:val="25FBF367"/>
    <w:rsid w:val="262D19C3"/>
    <w:rsid w:val="273E043A"/>
    <w:rsid w:val="28B409B4"/>
    <w:rsid w:val="28EF7C3E"/>
    <w:rsid w:val="2A0B4F4C"/>
    <w:rsid w:val="2A5C57A7"/>
    <w:rsid w:val="2BD96984"/>
    <w:rsid w:val="2BDB26FC"/>
    <w:rsid w:val="2BE747E9"/>
    <w:rsid w:val="2C2B76F6"/>
    <w:rsid w:val="2D1A7254"/>
    <w:rsid w:val="2D5F47EB"/>
    <w:rsid w:val="2DC31AB7"/>
    <w:rsid w:val="2E7F3AC5"/>
    <w:rsid w:val="2EFDC863"/>
    <w:rsid w:val="2F8D6403"/>
    <w:rsid w:val="31AA504A"/>
    <w:rsid w:val="31E340B8"/>
    <w:rsid w:val="33660E1F"/>
    <w:rsid w:val="34202DD9"/>
    <w:rsid w:val="344F1ED9"/>
    <w:rsid w:val="34FE9563"/>
    <w:rsid w:val="36FFF1CD"/>
    <w:rsid w:val="373830F8"/>
    <w:rsid w:val="37F078AD"/>
    <w:rsid w:val="382F62A9"/>
    <w:rsid w:val="39751E08"/>
    <w:rsid w:val="3ADE0FD7"/>
    <w:rsid w:val="3BFE6E63"/>
    <w:rsid w:val="3CEE5A95"/>
    <w:rsid w:val="3D45031D"/>
    <w:rsid w:val="3E4D56DB"/>
    <w:rsid w:val="3EAB0813"/>
    <w:rsid w:val="3ECD2053"/>
    <w:rsid w:val="3F2769D8"/>
    <w:rsid w:val="3F7F155E"/>
    <w:rsid w:val="3FDA1200"/>
    <w:rsid w:val="3FDE16FA"/>
    <w:rsid w:val="3FEFAC4E"/>
    <w:rsid w:val="3FF917C0"/>
    <w:rsid w:val="40073668"/>
    <w:rsid w:val="41006A35"/>
    <w:rsid w:val="42263ECC"/>
    <w:rsid w:val="422B74C6"/>
    <w:rsid w:val="42587410"/>
    <w:rsid w:val="425F778B"/>
    <w:rsid w:val="42887A45"/>
    <w:rsid w:val="43AF64F0"/>
    <w:rsid w:val="442B114E"/>
    <w:rsid w:val="45857508"/>
    <w:rsid w:val="46087400"/>
    <w:rsid w:val="47E94448"/>
    <w:rsid w:val="48A44149"/>
    <w:rsid w:val="4A3D7B6F"/>
    <w:rsid w:val="4B1555E6"/>
    <w:rsid w:val="4C6562E6"/>
    <w:rsid w:val="4D2C295F"/>
    <w:rsid w:val="4D7F5185"/>
    <w:rsid w:val="4F0F1E1B"/>
    <w:rsid w:val="4FEAF25D"/>
    <w:rsid w:val="4FFDAFE0"/>
    <w:rsid w:val="50B67110"/>
    <w:rsid w:val="51F74E54"/>
    <w:rsid w:val="529671F9"/>
    <w:rsid w:val="52A82A88"/>
    <w:rsid w:val="52FA9130"/>
    <w:rsid w:val="53081779"/>
    <w:rsid w:val="53EA0E7E"/>
    <w:rsid w:val="542919A7"/>
    <w:rsid w:val="559F0582"/>
    <w:rsid w:val="57CF6D09"/>
    <w:rsid w:val="57EBC0A0"/>
    <w:rsid w:val="58831FCD"/>
    <w:rsid w:val="58FA1B64"/>
    <w:rsid w:val="590715CB"/>
    <w:rsid w:val="5943350B"/>
    <w:rsid w:val="5A7F4A16"/>
    <w:rsid w:val="5ADEAF55"/>
    <w:rsid w:val="5AF366E4"/>
    <w:rsid w:val="5BBF39CC"/>
    <w:rsid w:val="5BF779D0"/>
    <w:rsid w:val="5C49708A"/>
    <w:rsid w:val="5C69772C"/>
    <w:rsid w:val="5C6E089F"/>
    <w:rsid w:val="5D1D4073"/>
    <w:rsid w:val="5D59154F"/>
    <w:rsid w:val="5DB42C29"/>
    <w:rsid w:val="5E37CEA0"/>
    <w:rsid w:val="5EBB3B02"/>
    <w:rsid w:val="5EF9B14C"/>
    <w:rsid w:val="5FD21BD2"/>
    <w:rsid w:val="623B714D"/>
    <w:rsid w:val="62E53885"/>
    <w:rsid w:val="64CF20F6"/>
    <w:rsid w:val="64EA5182"/>
    <w:rsid w:val="65B22121"/>
    <w:rsid w:val="666176C6"/>
    <w:rsid w:val="66772DC0"/>
    <w:rsid w:val="681D761D"/>
    <w:rsid w:val="68C301C4"/>
    <w:rsid w:val="6A7B0853"/>
    <w:rsid w:val="6BD247B3"/>
    <w:rsid w:val="6CE34991"/>
    <w:rsid w:val="6E0C6169"/>
    <w:rsid w:val="6E113780"/>
    <w:rsid w:val="6EFBE59B"/>
    <w:rsid w:val="6EFEF8BA"/>
    <w:rsid w:val="6FEDC268"/>
    <w:rsid w:val="6FEE59E5"/>
    <w:rsid w:val="6FFBB136"/>
    <w:rsid w:val="724BE449"/>
    <w:rsid w:val="72D57472"/>
    <w:rsid w:val="72F93721"/>
    <w:rsid w:val="73304BE4"/>
    <w:rsid w:val="74F6722B"/>
    <w:rsid w:val="755F719D"/>
    <w:rsid w:val="762D3121"/>
    <w:rsid w:val="76CC39E7"/>
    <w:rsid w:val="779571D0"/>
    <w:rsid w:val="77BA5093"/>
    <w:rsid w:val="77BF403B"/>
    <w:rsid w:val="77FB1A55"/>
    <w:rsid w:val="77FB8D34"/>
    <w:rsid w:val="77FFCB8A"/>
    <w:rsid w:val="79FBD0E1"/>
    <w:rsid w:val="7B5F1B77"/>
    <w:rsid w:val="7B9559F0"/>
    <w:rsid w:val="7BCC66B7"/>
    <w:rsid w:val="7BD749B9"/>
    <w:rsid w:val="7C772ABB"/>
    <w:rsid w:val="7CEC1640"/>
    <w:rsid w:val="7DFA5E07"/>
    <w:rsid w:val="7E2463E5"/>
    <w:rsid w:val="7E7F78C0"/>
    <w:rsid w:val="7E883290"/>
    <w:rsid w:val="7E9BE584"/>
    <w:rsid w:val="7EDF6597"/>
    <w:rsid w:val="7EFA58F0"/>
    <w:rsid w:val="7EFEB6E1"/>
    <w:rsid w:val="7EFF53CA"/>
    <w:rsid w:val="7F1255AA"/>
    <w:rsid w:val="7F47412F"/>
    <w:rsid w:val="7F4B315B"/>
    <w:rsid w:val="7F7DDF8D"/>
    <w:rsid w:val="7F7DEF3C"/>
    <w:rsid w:val="7F7EC8C4"/>
    <w:rsid w:val="7F8F42DC"/>
    <w:rsid w:val="7FD9F13D"/>
    <w:rsid w:val="7FEE1B73"/>
    <w:rsid w:val="7FFBCE3E"/>
    <w:rsid w:val="7FFDB6D6"/>
    <w:rsid w:val="7FFF8E03"/>
    <w:rsid w:val="87F7865C"/>
    <w:rsid w:val="8E66C45F"/>
    <w:rsid w:val="8FF33289"/>
    <w:rsid w:val="9FB61341"/>
    <w:rsid w:val="AF985819"/>
    <w:rsid w:val="AFD82D8E"/>
    <w:rsid w:val="B1FBB55F"/>
    <w:rsid w:val="BBF678CE"/>
    <w:rsid w:val="BBFFD782"/>
    <w:rsid w:val="BDE942FB"/>
    <w:rsid w:val="BF7F1CF1"/>
    <w:rsid w:val="BFC7990C"/>
    <w:rsid w:val="BFD3682A"/>
    <w:rsid w:val="CAF5F273"/>
    <w:rsid w:val="CBFB5FB9"/>
    <w:rsid w:val="CF4172CA"/>
    <w:rsid w:val="D3FF22C6"/>
    <w:rsid w:val="D7A9FD31"/>
    <w:rsid w:val="D975A3C5"/>
    <w:rsid w:val="D9ECA59E"/>
    <w:rsid w:val="DCBDE7A6"/>
    <w:rsid w:val="DD6F0BD8"/>
    <w:rsid w:val="DEE37A28"/>
    <w:rsid w:val="DF64A0BE"/>
    <w:rsid w:val="DFF7C1F8"/>
    <w:rsid w:val="EBFFBD8D"/>
    <w:rsid w:val="EEBD0D5E"/>
    <w:rsid w:val="EEFE3ABB"/>
    <w:rsid w:val="EFCF1544"/>
    <w:rsid w:val="EFDAAFBC"/>
    <w:rsid w:val="EFE46C24"/>
    <w:rsid w:val="F2EBFD03"/>
    <w:rsid w:val="F6D2947F"/>
    <w:rsid w:val="F7C3BFB1"/>
    <w:rsid w:val="F7DF5D34"/>
    <w:rsid w:val="F9CBA1D3"/>
    <w:rsid w:val="FB768FC7"/>
    <w:rsid w:val="FB9B9054"/>
    <w:rsid w:val="FBAE6203"/>
    <w:rsid w:val="FBFE582C"/>
    <w:rsid w:val="FD3EB507"/>
    <w:rsid w:val="FDFD863C"/>
    <w:rsid w:val="FDFF0359"/>
    <w:rsid w:val="FE3DF811"/>
    <w:rsid w:val="FEFB2A25"/>
    <w:rsid w:val="FF6D3B9D"/>
    <w:rsid w:val="FF7FAE40"/>
    <w:rsid w:val="FFAEB3A1"/>
    <w:rsid w:val="FFE8E6AE"/>
    <w:rsid w:val="FFEEF53F"/>
    <w:rsid w:val="FFF6594C"/>
    <w:rsid w:val="FFFB88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table of authorities"/>
    <w:next w:val="1"/>
    <w:qFormat/>
    <w:uiPriority w:val="0"/>
    <w:pPr>
      <w:widowControl w:val="0"/>
      <w:ind w:left="420" w:leftChars="200"/>
      <w:jc w:val="both"/>
    </w:pPr>
    <w:rPr>
      <w:rFonts w:ascii="Calibri" w:hAnsi="Calibri" w:eastAsia="宋体" w:cs="Times New Roman"/>
      <w:kern w:val="2"/>
      <w:sz w:val="21"/>
      <w:szCs w:val="24"/>
      <w:lang w:val="en-US" w:eastAsia="zh-CN" w:bidi="ar-SA"/>
    </w:rPr>
  </w:style>
  <w:style w:type="paragraph" w:styleId="3">
    <w:name w:val="Normal Indent"/>
    <w:basedOn w:val="1"/>
    <w:autoRedefine/>
    <w:unhideWhenUsed/>
    <w:qFormat/>
    <w:uiPriority w:val="0"/>
    <w:pPr>
      <w:ind w:firstLine="420"/>
    </w:pPr>
    <w:rPr>
      <w:rFonts w:eastAsia="宋体"/>
      <w:sz w:val="24"/>
    </w:rPr>
  </w:style>
  <w:style w:type="paragraph" w:styleId="4">
    <w:name w:val="footer"/>
    <w:basedOn w:val="1"/>
    <w:next w:val="5"/>
    <w:autoRedefine/>
    <w:qFormat/>
    <w:uiPriority w:val="99"/>
    <w:pPr>
      <w:tabs>
        <w:tab w:val="center" w:pos="4153"/>
        <w:tab w:val="right" w:pos="8306"/>
      </w:tabs>
      <w:snapToGrid w:val="0"/>
      <w:jc w:val="left"/>
    </w:pPr>
    <w:rPr>
      <w:sz w:val="18"/>
      <w:szCs w:val="18"/>
    </w:rPr>
  </w:style>
  <w:style w:type="paragraph" w:customStyle="1" w:styleId="5">
    <w:name w:val="UserStyle_2"/>
    <w:next w:val="1"/>
    <w:qFormat/>
    <w:uiPriority w:val="0"/>
    <w:pPr>
      <w:widowControl w:val="0"/>
      <w:spacing w:line="240" w:lineRule="auto"/>
      <w:ind w:left="1680"/>
      <w:jc w:val="both"/>
    </w:pPr>
    <w:rPr>
      <w:rFonts w:ascii="Calibri" w:hAnsi="Calibri" w:eastAsia="宋体" w:cs="Times New Roman"/>
      <w:kern w:val="2"/>
      <w:sz w:val="21"/>
      <w:szCs w:val="21"/>
      <w:lang w:val="en-US" w:eastAsia="zh-CN" w:bidi="ar-SA"/>
    </w:rPr>
  </w:style>
  <w:style w:type="paragraph" w:styleId="6">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table" w:styleId="8">
    <w:name w:val="Table Grid"/>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autoRedefine/>
    <w:qFormat/>
    <w:uiPriority w:val="0"/>
    <w:rPr>
      <w:color w:val="0000FF"/>
      <w:u w:val="single"/>
    </w:rPr>
  </w:style>
  <w:style w:type="paragraph" w:customStyle="1" w:styleId="11">
    <w:name w:val="公文正文"/>
    <w:basedOn w:val="1"/>
    <w:qFormat/>
    <w:uiPriority w:val="0"/>
    <w:pPr>
      <w:adjustRightInd w:val="0"/>
      <w:snapToGrid w:val="0"/>
      <w:spacing w:line="579" w:lineRule="exact"/>
      <w:ind w:firstLine="720" w:firstLineChars="200"/>
    </w:pPr>
    <w:rPr>
      <w:rFonts w:ascii="Calibri" w:hAnsi="Calibri" w:eastAsia="仿宋_GB2312" w:cs="Times New Roman"/>
      <w:sz w:val="32"/>
    </w:rPr>
  </w:style>
  <w:style w:type="paragraph" w:customStyle="1" w:styleId="12">
    <w:name w:val="公文大标题"/>
    <w:basedOn w:val="1"/>
    <w:autoRedefine/>
    <w:qFormat/>
    <w:uiPriority w:val="0"/>
    <w:pPr>
      <w:spacing w:line="579" w:lineRule="exact"/>
    </w:pPr>
    <w:rPr>
      <w:rFonts w:ascii="Calibri" w:hAnsi="Calibri" w:eastAsia="方正小标宋_GBK" w:cs="Times New Roman"/>
      <w:sz w:val="44"/>
    </w:rPr>
  </w:style>
  <w:style w:type="paragraph" w:customStyle="1" w:styleId="13">
    <w:name w:val="公文二级标题"/>
    <w:basedOn w:val="1"/>
    <w:link w:val="17"/>
    <w:autoRedefine/>
    <w:qFormat/>
    <w:uiPriority w:val="0"/>
    <w:pPr>
      <w:adjustRightInd w:val="0"/>
      <w:snapToGrid w:val="0"/>
      <w:spacing w:line="579" w:lineRule="exact"/>
      <w:ind w:firstLine="720" w:firstLineChars="200"/>
    </w:pPr>
    <w:rPr>
      <w:rFonts w:ascii="Calibri" w:hAnsi="Calibri" w:eastAsia="楷体" w:cs="Times New Roman"/>
      <w:b/>
      <w:sz w:val="32"/>
    </w:rPr>
  </w:style>
  <w:style w:type="paragraph" w:customStyle="1" w:styleId="14">
    <w:name w:val="公文一级标题"/>
    <w:basedOn w:val="11"/>
    <w:autoRedefine/>
    <w:qFormat/>
    <w:uiPriority w:val="0"/>
    <w:rPr>
      <w:rFonts w:eastAsia="黑体"/>
    </w:rPr>
  </w:style>
  <w:style w:type="character" w:customStyle="1" w:styleId="15">
    <w:name w:val="font01"/>
    <w:basedOn w:val="9"/>
    <w:autoRedefine/>
    <w:qFormat/>
    <w:uiPriority w:val="0"/>
    <w:rPr>
      <w:rFonts w:hint="eastAsia" w:ascii="汉仪书宋二S" w:hAnsi="汉仪书宋二S" w:eastAsia="汉仪书宋二S" w:cs="汉仪书宋二S"/>
      <w:color w:val="000000"/>
      <w:sz w:val="24"/>
      <w:szCs w:val="24"/>
      <w:u w:val="none"/>
    </w:rPr>
  </w:style>
  <w:style w:type="character" w:customStyle="1" w:styleId="16">
    <w:name w:val="font31"/>
    <w:basedOn w:val="9"/>
    <w:qFormat/>
    <w:uiPriority w:val="0"/>
    <w:rPr>
      <w:rFonts w:hint="eastAsia" w:ascii="宋体" w:hAnsi="宋体" w:eastAsia="宋体" w:cs="宋体"/>
      <w:color w:val="000000"/>
      <w:sz w:val="24"/>
      <w:szCs w:val="24"/>
      <w:u w:val="none"/>
    </w:rPr>
  </w:style>
  <w:style w:type="character" w:customStyle="1" w:styleId="17">
    <w:name w:val="公文二级标题 Char"/>
    <w:link w:val="13"/>
    <w:autoRedefine/>
    <w:qFormat/>
    <w:uiPriority w:val="0"/>
    <w:rPr>
      <w:rFonts w:ascii="Calibri" w:hAnsi="Calibri" w:eastAsia="楷体" w:cs="Times New Roman"/>
      <w:b/>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12477</Words>
  <Characters>13133</Characters>
  <Lines>0</Lines>
  <Paragraphs>0</Paragraphs>
  <TotalTime>53</TotalTime>
  <ScaleCrop>false</ScaleCrop>
  <LinksUpToDate>false</LinksUpToDate>
  <CharactersWithSpaces>15266</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2014-11-06T12:08:00Z</dcterms:created>
  <dc:creator>Administrator</dc:creator>
  <cp:lastModifiedBy>xtyw</cp:lastModifiedBy>
  <cp:lastPrinted>2024-01-15T07:31:00Z</cp:lastPrinted>
  <dcterms:modified xsi:type="dcterms:W3CDTF">2024-01-26T02:41:57Z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12314144490D44DEAB6565702FA68F10</vt:lpwstr>
  </property>
</Properties>
</file>