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ascii="仿宋_GB2312" w:hAnsi="Verdana" w:eastAsia="宋体" w:cs="宋体"/>
          <w:b/>
          <w:sz w:val="24"/>
          <w:szCs w:val="24"/>
        </w:rPr>
      </w:pPr>
      <w:r>
        <w:rPr>
          <w:rFonts w:ascii="Times New Roman" w:hAnsi="Times New Roman" w:eastAsia="宋体" w:cs="Times New Roman"/>
          <w:szCs w:val="24"/>
        </w:rPr>
        <w:pict>
          <v:shape id="艺术字 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p>
    <w:p>
      <w:pPr>
        <w:widowControl/>
        <w:snapToGrid w:val="0"/>
        <w:spacing w:line="480" w:lineRule="atLeast"/>
        <w:jc w:val="center"/>
        <w:rPr>
          <w:rFonts w:ascii="仿宋_GB2312" w:hAnsi="Verdana" w:eastAsia="宋体" w:cs="宋体"/>
          <w:b/>
          <w:sz w:val="24"/>
          <w:szCs w:val="24"/>
        </w:rPr>
      </w:pPr>
    </w:p>
    <w:p>
      <w:pPr>
        <w:widowControl/>
        <w:snapToGrid w:val="0"/>
        <w:spacing w:line="480" w:lineRule="atLeast"/>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校学发[202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10</w:t>
      </w:r>
      <w:bookmarkStart w:id="0" w:name="_GoBack"/>
      <w:bookmarkEnd w:id="0"/>
      <w:r>
        <w:rPr>
          <w:rFonts w:hint="eastAsia" w:ascii="仿宋" w:hAnsi="仿宋" w:eastAsia="仿宋" w:cs="宋体"/>
          <w:color w:val="000000"/>
          <w:kern w:val="0"/>
          <w:sz w:val="32"/>
          <w:szCs w:val="32"/>
        </w:rPr>
        <w:t>号</w:t>
      </w:r>
    </w:p>
    <w:p>
      <w:pPr>
        <w:jc w:val="center"/>
        <w:rPr>
          <w:rFonts w:hint="eastAsia" w:ascii="黑体" w:hAnsi="黑体" w:eastAsia="黑体"/>
          <w:b/>
          <w:sz w:val="44"/>
          <w:szCs w:val="44"/>
        </w:rPr>
      </w:pPr>
      <w:r>
        <w:rPr>
          <w:rFonts w:ascii="仿宋_GB2312" w:hAnsi="Verdana" w:eastAsia="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-430530</wp:posOffset>
                </wp:positionH>
                <wp:positionV relativeFrom="paragraph">
                  <wp:posOffset>156845</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33.9pt;margin-top:12.35pt;height:0pt;width:486pt;z-index:251660288;mso-width-relative:page;mso-height-relative:page;" filled="f" stroked="t" coordsize="21600,21600" o:gfxdata="UEsDBAoAAAAAAIdO4kAAAAAAAAAAAAAAAAAEAAAAZHJzL1BLAwQUAAAACACHTuJA+EOed9sAAAAJ&#10;AQAADwAAAGRycy9kb3ducmV2LnhtbE2PUU/CMBSF3038D8018cVAy0IA5zpiTIwoD+AwIbyV9bot&#10;rLez7QD/vTU+4OM99+Sc72Tzs2nZEZ1vLEkYDQUwpNLqhioJH5vnwQyYD4q0ai2hhG/0MM+vrzKV&#10;anuidzwWoWIxhHyqJNQhdCnnvqzRKD+0HVL8fVpnVIinq7h26hTDTcsTISbcqIZiQ606fKqxPBS9&#10;kWBW5pHvli994davb9uv5WJ9uFtIeXszEg/AAp7DxQy/+BEd8si0tz1pz1oJg8k0ogcJyXgKLBru&#10;xTgBtv8TeJ7x/wvyH1BLAwQUAAAACACHTuJAbEjaaukBAAC5AwAADgAAAGRycy9lMm9Eb2MueG1s&#10;rVNNbhMxFN4jcQfLezKTIJVqlEkXicKmQKSWAzi2Z8bC9rNsJzO5BBdAYgcrluy5DeUYPHuSQNtN&#10;F52F5ff3+X3fezO/Gowme+mDAlvT6aSkRFoOQtm2ph9v168uKQmRWcE0WFnTgwz0avHyxbx3lZxB&#10;B1pITxDEhqp3Ne1idFVRBN5Jw8IEnLQYbMAbFtH0bSE86xHd6GJWlhdFD144D1yGgN7VGKRHRP8U&#10;QGgaxeUK+M5IG0dULzWLSCl0ygW6yN02jeTxQ9MEGYmuKTKN+cRH8L5NZ7GYs6r1zHWKH1tgT2nh&#10;ASfDlMVHz1ArFhnZefUIyijuIUATJxxMMRLJiiCLaflAm5uOOZm5oNTBnUUPzwfL3+83niiBm0CJ&#10;ZQYHfvfl5+/P3/78+orn3Y/vZJpE6l2oMHdpNz7R5IO9cdfAPwViYdkx28rc7O3BIUKuKO6VJCM4&#10;fGrbvwOBOWwXISs2NN4kSNSCDHkwh/Ng5BAJR+fF9M0Md4cSfooVrDoVOh/iWwmGpEtNtbJJM1ax&#10;/XWI2DqmnlKS28JaaZ3nri3pa/r6corQKRRAK5Gi2fDtdqk92TNcnfW6xC8JgWj30jzsrBj92qY6&#10;mbfu+PSJ9ijgFsRh41Ny8uNEM9xx+9LK/G/nrH9/3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Oed9sAAAAJAQAADwAAAAAAAAABACAAAAAiAAAAZHJzL2Rvd25yZXYueG1sUEsBAhQAFAAAAAgA&#10;h07iQGxI2mrpAQAAuQMAAA4AAAAAAAAAAQAgAAAAKgEAAGRycy9lMm9Eb2MueG1sUEsFBgAAAAAG&#10;AAYAWQEAAIUFAAAAAA==&#10;">
                <v:fill on="f" focussize="0,0"/>
                <v:stroke weight="3pt" color="#FF0000" joinstyle="round"/>
                <v:imagedata o:title=""/>
                <o:lock v:ext="edit" aspectratio="f"/>
              </v:line>
            </w:pict>
          </mc:Fallback>
        </mc:AlternateContent>
      </w:r>
    </w:p>
    <w:p>
      <w:pPr>
        <w:widowControl/>
        <w:spacing w:line="580" w:lineRule="exact"/>
        <w:jc w:val="center"/>
        <w:rPr>
          <w:rFonts w:ascii="华文中宋" w:hAnsi="华文中宋" w:eastAsia="华文中宋" w:cs="黑体"/>
          <w:b/>
          <w:kern w:val="0"/>
          <w:sz w:val="44"/>
          <w:szCs w:val="44"/>
        </w:rPr>
      </w:pPr>
      <w:r>
        <w:rPr>
          <w:rFonts w:ascii="华文中宋" w:hAnsi="华文中宋" w:eastAsia="华文中宋" w:cs="黑体"/>
          <w:b/>
          <w:kern w:val="0"/>
          <w:sz w:val="44"/>
          <w:szCs w:val="44"/>
        </w:rPr>
        <w:t>关于重申禁止在学生宿舍使用大功率电器</w:t>
      </w:r>
    </w:p>
    <w:p>
      <w:pPr>
        <w:widowControl/>
        <w:spacing w:line="580" w:lineRule="exact"/>
        <w:jc w:val="center"/>
        <w:rPr>
          <w:rFonts w:ascii="华文中宋" w:hAnsi="华文中宋" w:eastAsia="华文中宋" w:cs="黑体"/>
          <w:b/>
          <w:kern w:val="0"/>
          <w:sz w:val="44"/>
          <w:szCs w:val="44"/>
        </w:rPr>
      </w:pPr>
      <w:r>
        <w:rPr>
          <w:rFonts w:ascii="华文中宋" w:hAnsi="华文中宋" w:eastAsia="华文中宋" w:cs="黑体"/>
          <w:b/>
          <w:kern w:val="0"/>
          <w:sz w:val="44"/>
          <w:szCs w:val="44"/>
        </w:rPr>
        <w:t>及</w:t>
      </w:r>
      <w:r>
        <w:rPr>
          <w:rFonts w:hint="eastAsia" w:ascii="华文中宋" w:hAnsi="华文中宋" w:eastAsia="华文中宋" w:cs="华文中宋"/>
          <w:b/>
          <w:color w:val="000000"/>
          <w:sz w:val="44"/>
          <w:szCs w:val="44"/>
          <w:lang w:bidi="ar"/>
        </w:rPr>
        <w:t>严禁学生赌博行为</w:t>
      </w:r>
      <w:r>
        <w:rPr>
          <w:rFonts w:ascii="华文中宋" w:hAnsi="华文中宋" w:eastAsia="华文中宋" w:cs="黑体"/>
          <w:b/>
          <w:kern w:val="0"/>
          <w:sz w:val="44"/>
          <w:szCs w:val="44"/>
        </w:rPr>
        <w:t>的通知</w:t>
      </w:r>
    </w:p>
    <w:p>
      <w:pPr>
        <w:widowControl/>
        <w:snapToGrid w:val="0"/>
        <w:spacing w:line="620" w:lineRule="exact"/>
        <w:contextualSpacing/>
        <w:jc w:val="left"/>
        <w:rPr>
          <w:rFonts w:ascii="仿宋" w:hAnsi="仿宋" w:eastAsia="仿宋" w:cs="宋体"/>
          <w:kern w:val="0"/>
          <w:sz w:val="32"/>
          <w:szCs w:val="32"/>
        </w:rPr>
      </w:pPr>
    </w:p>
    <w:p>
      <w:pPr>
        <w:widowControl/>
        <w:ind w:firstLine="640" w:firstLineChars="200"/>
        <w:contextualSpacing/>
        <w:jc w:val="left"/>
        <w:rPr>
          <w:rFonts w:ascii="仿宋" w:hAnsi="仿宋" w:eastAsia="仿宋" w:cs="宋体"/>
          <w:kern w:val="0"/>
          <w:sz w:val="32"/>
          <w:szCs w:val="32"/>
        </w:rPr>
      </w:pPr>
      <w:r>
        <w:rPr>
          <w:rFonts w:hint="eastAsia" w:ascii="仿宋" w:hAnsi="仿宋" w:eastAsia="仿宋" w:cs="宋体"/>
          <w:kern w:val="0"/>
          <w:sz w:val="32"/>
          <w:szCs w:val="32"/>
        </w:rPr>
        <w:t>根据省教育厅和学校学生安全管理要求，现就关于禁止在学生宿舍使用大功率电器及严禁学生赌博行为的规定重申如下：</w:t>
      </w:r>
    </w:p>
    <w:p>
      <w:pPr>
        <w:widowControl/>
        <w:ind w:firstLine="640" w:firstLineChars="200"/>
        <w:contextualSpacing/>
        <w:jc w:val="left"/>
        <w:rPr>
          <w:rFonts w:ascii="仿宋" w:hAnsi="仿宋" w:eastAsia="仿宋" w:cs="宋体"/>
          <w:kern w:val="0"/>
          <w:sz w:val="32"/>
          <w:szCs w:val="32"/>
        </w:rPr>
      </w:pPr>
      <w:r>
        <w:rPr>
          <w:rFonts w:hint="eastAsia" w:ascii="仿宋" w:hAnsi="仿宋" w:eastAsia="仿宋" w:cs="宋体"/>
          <w:kern w:val="0"/>
          <w:sz w:val="32"/>
          <w:szCs w:val="32"/>
        </w:rPr>
        <w:t>一、根据</w:t>
      </w:r>
      <w:r>
        <w:rPr>
          <w:rFonts w:hint="eastAsia" w:ascii="仿宋_GB2312" w:eastAsia="仿宋_GB2312"/>
          <w:sz w:val="32"/>
          <w:szCs w:val="32"/>
        </w:rPr>
        <w:t>《湘潭医卫职业技术学院学生宿舍管理办法》</w:t>
      </w:r>
      <w:r>
        <w:rPr>
          <w:rFonts w:hint="eastAsia" w:ascii="仿宋" w:hAnsi="仿宋" w:eastAsia="仿宋" w:cs="宋体"/>
          <w:kern w:val="0"/>
          <w:sz w:val="32"/>
          <w:szCs w:val="32"/>
        </w:rPr>
        <w:t>有关规定：学生在寝室内或走廊上使用热得快、电热水壶、电热杯、电火锅、电饭煲、电热水袋、酒精炉等高功能电器及其他电热设备的，给予警告及以上处分；在宿舍区私接电线、私设开关，在床上点蜡烛，给予警告及以上处分。</w:t>
      </w:r>
    </w:p>
    <w:p>
      <w:pPr>
        <w:widowControl/>
        <w:ind w:firstLine="640" w:firstLineChars="200"/>
        <w:contextualSpacing/>
        <w:jc w:val="left"/>
        <w:rPr>
          <w:rFonts w:ascii="仿宋" w:hAnsi="仿宋" w:eastAsia="仿宋" w:cs="仿宋"/>
          <w:color w:val="000000"/>
          <w:kern w:val="0"/>
          <w:sz w:val="32"/>
          <w:szCs w:val="32"/>
        </w:rPr>
      </w:pPr>
      <w:r>
        <w:rPr>
          <w:rFonts w:hint="eastAsia" w:ascii="仿宋" w:hAnsi="仿宋" w:eastAsia="仿宋" w:cs="宋体"/>
          <w:kern w:val="0"/>
          <w:sz w:val="32"/>
          <w:szCs w:val="32"/>
        </w:rPr>
        <w:t>二、根据</w:t>
      </w:r>
      <w:r>
        <w:rPr>
          <w:rFonts w:hint="eastAsia" w:ascii="仿宋_GB2312" w:eastAsia="仿宋_GB2312"/>
          <w:sz w:val="32"/>
          <w:szCs w:val="32"/>
        </w:rPr>
        <w:t>《湘潭医卫职业技术学院学生纪律处分</w:t>
      </w:r>
      <w:r>
        <w:rPr>
          <w:rFonts w:hint="eastAsia" w:ascii="仿宋_GB2312" w:eastAsia="仿宋_GB2312"/>
          <w:sz w:val="32"/>
          <w:szCs w:val="32"/>
          <w:lang w:val="en-US" w:eastAsia="zh-CN"/>
        </w:rPr>
        <w:t>管理办法</w:t>
      </w:r>
      <w:r>
        <w:rPr>
          <w:rFonts w:hint="eastAsia" w:ascii="仿宋_GB2312" w:eastAsia="仿宋_GB2312"/>
          <w:sz w:val="32"/>
          <w:szCs w:val="32"/>
        </w:rPr>
        <w:t>》</w:t>
      </w:r>
      <w:r>
        <w:rPr>
          <w:rFonts w:hint="eastAsia" w:ascii="仿宋" w:hAnsi="仿宋" w:eastAsia="仿宋" w:cs="宋体"/>
          <w:kern w:val="0"/>
          <w:sz w:val="32"/>
          <w:szCs w:val="32"/>
        </w:rPr>
        <w:t>的有关规定，</w:t>
      </w:r>
      <w:r>
        <w:rPr>
          <w:rFonts w:hint="eastAsia" w:ascii="仿宋" w:hAnsi="仿宋" w:eastAsia="仿宋" w:cs="仿宋"/>
          <w:color w:val="000000"/>
          <w:kern w:val="0"/>
          <w:sz w:val="32"/>
          <w:szCs w:val="32"/>
          <w:lang w:bidi="ar"/>
        </w:rPr>
        <w:t>学生赌博行为一经发现，给予记过或留校察看处分；情节特别恶劣的，给予开除学籍处分。发现赌博行为不及时劝阻或举报并围观赌博的，给予严重警告处分。</w:t>
      </w:r>
    </w:p>
    <w:p>
      <w:pPr>
        <w:widowControl/>
        <w:ind w:firstLine="640" w:firstLineChars="200"/>
        <w:contextualSpacing/>
        <w:jc w:val="left"/>
        <w:rPr>
          <w:rFonts w:hint="eastAsia" w:eastAsia="仿宋"/>
          <w:lang w:eastAsia="zh-CN"/>
        </w:rPr>
      </w:pPr>
      <w:r>
        <w:rPr>
          <w:rFonts w:hint="eastAsia" w:ascii="仿宋" w:hAnsi="仿宋" w:eastAsia="仿宋" w:cs="宋体"/>
          <w:kern w:val="0"/>
          <w:sz w:val="32"/>
          <w:szCs w:val="32"/>
        </w:rPr>
        <w:t>三、各二级学院、班级要高度重视，结合本单位实际开展专题教育。凡不听从教育劝导，给学校和学生安全带来危害的予以严肃处理；情节严重的，由有关部门依法追究责任</w:t>
      </w:r>
      <w:r>
        <w:rPr>
          <w:rFonts w:hint="eastAsia" w:ascii="仿宋" w:hAnsi="仿宋" w:eastAsia="仿宋" w:cs="宋体"/>
          <w:kern w:val="0"/>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000000"/>
    <w:rsid w:val="36EB4515"/>
    <w:rsid w:val="71E5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2024-02-25T07:25:00Z</dcterms:created>
  <dc:creator>Administrator</dc:creator>
  <cp:lastModifiedBy>Administrator</cp:lastModifiedBy>
  <dcterms:modified xsi:type="dcterms:W3CDTF">2024-02-25T07:26:48Z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C311F628D0594C2C805A0DD2B1FA6FEA_12</vt:lpwstr>
  </property>
</Properties>
</file>