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napToGrid w:val="0"/>
        <w:spacing w:line="480" w:lineRule="atLeast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515151"/>
          <w:spacing w:val="0"/>
          <w:sz w:val="36"/>
          <w:szCs w:val="36"/>
        </w:rPr>
      </w:pPr>
      <w:r>
        <w:rPr>
          <w:rFonts w:hint="eastAsia" w:ascii="华文中宋" w:hAnsi="华文中宋" w:eastAsia="华文中宋" w:cs="Arial"/>
          <w:b/>
          <w:bCs/>
          <w:color w:val="000000"/>
          <w:spacing w:val="-10"/>
          <w:kern w:val="0"/>
          <w:sz w:val="44"/>
          <w:szCs w:val="44"/>
          <w:lang w:eastAsia="zh-CN"/>
        </w:rPr>
        <w:tab/>
      </w: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15151"/>
          <w:spacing w:val="0"/>
          <w:sz w:val="36"/>
          <w:szCs w:val="36"/>
          <w:shd w:val="clear" w:fill="FFFFFF"/>
        </w:rPr>
        <w:t>第四周“爱集体、爱劳动、爱护公共财产”主题教育活动考核情况通报</w:t>
      </w:r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5"/>
        <w:jc w:val="left"/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2024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年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3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月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21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日中午，依据《“爱集体、爱劳动、爱护公共财产”主题教育活动方案》《“爱集体、爱劳动、爱护公共财产”主题教育活动考核工作方案》文件精神，学生工作处组织宿舍管理相关人员对校本部、河西校区各二级学院 “主题教育活动”落实情况进行考核评分，现将相关情况通报如下：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5"/>
        <w:jc w:val="left"/>
      </w:pPr>
      <w:r>
        <w:rPr>
          <w:rStyle w:val="7"/>
          <w:rFonts w:hint="default" w:ascii="楷体_GB2312" w:hAnsi="Arial" w:eastAsia="楷体_GB2312" w:cs="楷体_GB2312"/>
          <w:b/>
          <w:bCs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一、考核范围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5"/>
        <w:jc w:val="left"/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本次共检查校本部、河西校区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4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个二级学院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55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名专、兼职辅导员管理的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116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间教室和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303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间学生寝室。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5"/>
        <w:jc w:val="left"/>
      </w:pPr>
      <w:r>
        <w:rPr>
          <w:rStyle w:val="7"/>
          <w:rFonts w:hint="default" w:ascii="楷体_GB2312" w:hAnsi="Arial" w:eastAsia="楷体_GB2312" w:cs="楷体_GB2312"/>
          <w:b/>
          <w:bCs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二、检查情况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5"/>
        <w:jc w:val="left"/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（一）活动推进情况：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5"/>
        <w:jc w:val="left"/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各二级学院对“爱集体、爱劳动、爱护公共财产”主题教育活动重视程度高、宣教面广、师生参与积极；宿舍管理员认真履职，每天检查、督促学生搞卫生、带垃圾下楼。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5"/>
        <w:jc w:val="left"/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1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、教室：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整体情况好，地面干净，课桌整洁，劳动工具摆放整齐，扫、拖、抹各项卫生打扫程序到位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5"/>
        <w:jc w:val="left"/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2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、男、女生寝室卫生状况整体较好，学工处加大对学生寝室日常巡查力度，及时在楼栋内通报优、差寝情况，各二级学院能及时根据《考核情况通报》对存在的问题进行整改。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5"/>
        <w:jc w:val="left"/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（二）存在的问题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5"/>
        <w:jc w:val="left"/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1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、部分寝室阳台杂物未及时清理、阳台卫生打扫潦草；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5"/>
        <w:jc w:val="left"/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2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、部分寝室存在室内抽烟现象，自制烟缸清理不及时，寝室地面、宿舍楼道等处烟头随意丢弃。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5"/>
        <w:jc w:val="left"/>
      </w:pPr>
      <w:r>
        <w:rPr>
          <w:rStyle w:val="7"/>
          <w:rFonts w:hint="default" w:ascii="楷体_GB2312" w:hAnsi="Arial" w:eastAsia="楷体_GB2312" w:cs="楷体_GB2312"/>
          <w:b/>
          <w:bCs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三、考核结果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5"/>
        <w:jc w:val="left"/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本次对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116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间教室和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303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间学生寝室的卫生及公共财产管理进行考核评分（见附表），评分结果将运用到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2024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年度辅导员考核。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5"/>
        <w:jc w:val="left"/>
      </w:pPr>
      <w:r>
        <w:rPr>
          <w:rFonts w:ascii="华文仿宋" w:hAnsi="华文仿宋" w:eastAsia="华文仿宋" w:cs="华文仿宋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880"/>
        <w:jc w:val="left"/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880"/>
        <w:jc w:val="left"/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学生工作处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95"/>
        <w:jc w:val="left"/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2024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年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3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月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24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7D32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2024-03-26T08:17:16Z</dcterms:created>
  <dc:creator>Administrator</dc:creator>
  <cp:lastModifiedBy>Administrator</cp:lastModifiedBy>
  <dcterms:modified xsi:type="dcterms:W3CDTF">2024-03-26T08:18:14Z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39FDC85F683D40E28BAC6687486CD70A_12</vt:lpwstr>
  </property>
</Properties>
</file>