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华文中宋" w:hAnsi="华文中宋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湘潭医卫职业技术学院</w:t>
      </w:r>
    </w:p>
    <w:p>
      <w:pPr>
        <w:spacing w:line="580" w:lineRule="exact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关于申报</w:t>
      </w:r>
      <w:r>
        <w:rPr>
          <w:rFonts w:hint="default" w:ascii="华文中宋" w:hAnsi="华文中宋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普通高校特色成长辅导室建设项目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培育对象的通知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ind w:firstLine="627" w:firstLineChars="196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eastAsia="仿宋_GB2312"/>
          <w:kern w:val="0"/>
          <w:sz w:val="32"/>
          <w:szCs w:val="32"/>
        </w:rPr>
        <w:t>为贯彻落实党的二十大精神，深入推进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学校</w:t>
      </w:r>
      <w:r>
        <w:rPr>
          <w:rFonts w:hint="eastAsia" w:eastAsia="仿宋_GB2312"/>
          <w:kern w:val="0"/>
          <w:sz w:val="32"/>
          <w:szCs w:val="32"/>
        </w:rPr>
        <w:t>心理服务体系建设，根据《高等学校学生心理健康教育指导纲要》（教党〔2018〕41 号）、《关于加强新时代学生心理健康教育的意见》（湘办发〔2020〕12 号）、《加强新时代高校学生心理健康教育工作的实施办法》（湘教工委发〔2021〕2 号）、教育部等十七部门关于印发《全面加强和改进新时代学生心理健康工作专项行动计划（2023-2025）的通知》（教体艺〔2023〕1 号）等上级文件精神，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学校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决定组织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20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年度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湖南省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普通高等学校特色成长辅导室建设项目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培育对象申报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。现将有关事项通知如下：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项目建设目标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通过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特色成长辅导室建设项目，在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各二级学院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重点建设一批环境友好、师生互动的交流辅导空间，组建一支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学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院领导、辅导员、专业教师和学生参与的、年龄结构合理的学生成长辅导队伍，运用各种思想政治教育手段和方法，辅以心理健康教育与咨询技术，以互动式为主的交流方式，在学生熟悉的环境中，及时疏导他们在成长过程中遇到的各种生活困难、学习困难、就业压力、心理困惑等思想问题，想方设法帮助学生解决实际困难，防止问题积累到一定程度转化为心理障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构建工作前移、重心下移到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学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院的大学生心理健康教育工作新模式，确保大学生健康成长和全面成才。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项目建设内容与要求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项目建设内容：着眼于进一步提高高校育人工作实效，尤其要结合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学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院实际，围绕成长辅导室机制建设（管理制度、经费投入）、队伍建设（辅导老师、朋辈辅导队伍）、条件建设（场地、功能区）、日常运行（辅导管理、辅导内容、辅导效果）、特色工作等建设内容，不断加强成长辅导室建设的组织领导、条件保障、制度完善、资源整合、工作创新和队伍提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项目建设要求：首先，要严格按照《湖南省普通高等学校特色成长辅导室建设标准（试行）》（见附件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），推进成长辅导室标准化建设，为大学生成长辅导工作的开展提供一个舒适友好、互动交流的环境。其次，根据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学院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学生的特点和需求，形成鲜明的辅导工作特色，提高工作的针对性。三是通过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项目建设，不断完善互动交流辅导接待工作制度，丰富互动交流辅导的手段与途径，满足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学院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大学生接受互动交流辅导的需要，为大学生提供主动、便捷、及时、有效的辅导服务。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三、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 w:eastAsia="zh-CN"/>
        </w:rPr>
        <w:t>培育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项目遴选条件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8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1.必须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有单独的场地及相关硬件设施。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8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2.前期工作基础扎实，初步成效明显，并受到所在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eastAsia="zh-CN"/>
        </w:rPr>
        <w:t>学院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广大学生认可。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8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3.项目建设目标科学明确，建设计划周详，特色鲜明，建设条件有保障。</w:t>
      </w:r>
    </w:p>
    <w:p>
      <w:pPr>
        <w:ind w:firstLine="627" w:firstLineChars="196"/>
        <w:rPr>
          <w:rFonts w:hint="eastAsia" w:eastAsia="仿宋_GB2312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4.项目负责人应为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eastAsia="zh-CN"/>
        </w:rPr>
        <w:t>学院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从事大学生思想政治教育工作的负责人，具有中级以上职称或正科以上职务。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黑体" w:hAnsi="宋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 w:eastAsia="zh-CN"/>
        </w:rPr>
        <w:t>四、培育数量与立项申报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培育对象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，培育周期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月-202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以项目申报方式遴选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；已经通过湖南省教育厅验收合格的特色成长辅导室不再申报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申报人以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《湖南省普通高等学校特色成长辅导室建设标准（试行）》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为参考依据，撰写《湘潭医卫职业技术学院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普通高校特色成长辅导室建设项目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培育对象申报书》（附件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二级学院应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充分考虑培育对象申报人在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现有成长辅导室建设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基础和培养周期内能达到的总体目标，在申报书上填写推荐意见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并承诺支持项目建设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培育对象培育经费为1万元，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从学生工作处心理健康教育专项经费支出，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经费使用按照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学校相关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项目经费管理办法执行。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对建设到期的项目，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学校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将通过一定的形式组织开展结项工作。结项通过的，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可以报销建设经费，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结项不合格的，将予以通报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并取消经费支持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　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bCs/>
          <w:kern w:val="0"/>
          <w:sz w:val="32"/>
          <w:szCs w:val="32"/>
        </w:rPr>
        <w:t>材料报送</w:t>
      </w:r>
      <w:r>
        <w:rPr>
          <w:rFonts w:eastAsia="仿宋_GB2312"/>
          <w:b/>
          <w:bCs/>
          <w:kern w:val="0"/>
          <w:sz w:val="32"/>
          <w:szCs w:val="32"/>
        </w:rPr>
        <w:t>要求。</w:t>
      </w:r>
      <w:r>
        <w:rPr>
          <w:rFonts w:eastAsia="仿宋_GB2312"/>
          <w:kern w:val="0"/>
          <w:sz w:val="32"/>
          <w:szCs w:val="32"/>
        </w:rPr>
        <w:t>申请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人</w:t>
      </w:r>
      <w:r>
        <w:rPr>
          <w:rFonts w:eastAsia="仿宋_GB2312"/>
          <w:kern w:val="0"/>
          <w:sz w:val="32"/>
          <w:szCs w:val="32"/>
        </w:rPr>
        <w:t>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《湘潭医卫职业技术学院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普通高校特色成长辅导室建设项目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培育对象申报书》</w:t>
      </w:r>
      <w:r>
        <w:rPr>
          <w:rFonts w:eastAsia="仿宋_GB2312"/>
          <w:kern w:val="0"/>
          <w:sz w:val="32"/>
          <w:szCs w:val="32"/>
        </w:rPr>
        <w:t>纸质版</w:t>
      </w:r>
      <w:r>
        <w:rPr>
          <w:rFonts w:hint="eastAsia" w:eastAsia="仿宋_GB2312"/>
          <w:kern w:val="0"/>
          <w:sz w:val="32"/>
          <w:szCs w:val="32"/>
        </w:rPr>
        <w:t>一份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统一用</w:t>
      </w:r>
      <w:r>
        <w:rPr>
          <w:rFonts w:eastAsia="仿宋_GB2312"/>
          <w:kern w:val="0"/>
          <w:sz w:val="32"/>
          <w:szCs w:val="32"/>
        </w:rPr>
        <w:t>A3</w:t>
      </w:r>
      <w:r>
        <w:rPr>
          <w:rFonts w:hint="eastAsia" w:eastAsia="仿宋_GB2312"/>
          <w:kern w:val="0"/>
          <w:sz w:val="32"/>
          <w:szCs w:val="32"/>
        </w:rPr>
        <w:t>纸双面印制，中缝装订，</w:t>
      </w:r>
      <w:r>
        <w:rPr>
          <w:rFonts w:eastAsia="仿宋_GB2312"/>
          <w:kern w:val="0"/>
          <w:sz w:val="32"/>
          <w:szCs w:val="32"/>
        </w:rPr>
        <w:t>于20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kern w:val="0"/>
          <w:sz w:val="32"/>
          <w:szCs w:val="32"/>
        </w:rPr>
        <w:t>年5月2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日17:00前报送至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学工处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同时将材料电子版发送至指定电子邮箱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逾期不予受理。</w:t>
      </w:r>
    </w:p>
    <w:p>
      <w:pPr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　　</w:t>
      </w:r>
      <w:r>
        <w:rPr>
          <w:rFonts w:eastAsia="黑体"/>
          <w:bCs/>
          <w:kern w:val="0"/>
          <w:sz w:val="32"/>
          <w:szCs w:val="32"/>
        </w:rPr>
        <w:t xml:space="preserve">五、联系方式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报送地址：</w:t>
      </w:r>
      <w:r>
        <w:rPr>
          <w:rFonts w:hint="eastAsia" w:eastAsia="仿宋_GB2312"/>
          <w:sz w:val="32"/>
          <w:szCs w:val="32"/>
          <w:lang w:val="en-US" w:eastAsia="zh-CN"/>
        </w:rPr>
        <w:t>综合实训大楼1320</w:t>
      </w:r>
      <w:r>
        <w:rPr>
          <w:rFonts w:eastAsia="仿宋_GB2312"/>
          <w:sz w:val="32"/>
          <w:szCs w:val="32"/>
        </w:rPr>
        <w:t>室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>齐宇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联系电话： </w:t>
      </w:r>
      <w:r>
        <w:rPr>
          <w:rFonts w:hint="eastAsia" w:eastAsia="仿宋_GB2312"/>
          <w:sz w:val="32"/>
          <w:szCs w:val="32"/>
          <w:lang w:val="en-US" w:eastAsia="zh-CN"/>
        </w:rPr>
        <w:t>13507326045</w:t>
      </w:r>
      <w:r>
        <w:rPr>
          <w:rFonts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32"/>
          <w:szCs w:val="32"/>
        </w:rPr>
        <w:t xml:space="preserve">电子邮箱： </w:t>
      </w:r>
      <w:r>
        <w:rPr>
          <w:rFonts w:hint="eastAsia" w:eastAsia="仿宋_GB2312"/>
          <w:sz w:val="32"/>
          <w:szCs w:val="32"/>
        </w:rPr>
        <w:t>65651236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  <w:lang w:val="en-US" w:eastAsia="zh-CN"/>
        </w:rPr>
        <w:t>qq</w:t>
      </w:r>
      <w:r>
        <w:rPr>
          <w:rFonts w:eastAsia="仿宋_GB2312"/>
          <w:sz w:val="32"/>
          <w:szCs w:val="32"/>
        </w:rPr>
        <w:t>.com</w:t>
      </w:r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  件：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《湖南省普通高等学校特色成长辅导室建设标准（试行）》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2、《湘潭医卫职业技术学院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普通高校特色成长辅导室建设项目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培育对象申报书》</w:t>
      </w:r>
    </w:p>
    <w:p>
      <w:pPr>
        <w:rPr>
          <w:rFonts w:hint="default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学生工作处</w:t>
      </w:r>
    </w:p>
    <w:p>
      <w:pPr>
        <w:ind w:firstLine="4337" w:firstLineChars="135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880"/>
        <w:jc w:val="center"/>
        <w:rPr>
          <w:rFonts w:hint="default" w:ascii="Times New Roman" w:hAnsi="Times New Roman" w:cs="Times New Roman"/>
          <w:color w:val="333333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36"/>
          <w:szCs w:val="36"/>
        </w:rPr>
        <w:t>湖南省普通高等学校特色成长辅导室建设标准（试行）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723"/>
        <w:jc w:val="center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333333"/>
          <w:sz w:val="21"/>
          <w:szCs w:val="21"/>
        </w:rPr>
        <w:t> 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654"/>
        <w:gridCol w:w="5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  <w:jc w:val="center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一级指标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二级指标</w:t>
            </w:r>
          </w:p>
        </w:tc>
        <w:tc>
          <w:tcPr>
            <w:tcW w:w="5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pacing w:val="400"/>
                <w:sz w:val="21"/>
                <w:szCs w:val="21"/>
              </w:rPr>
              <w:t>建设标</w:t>
            </w: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机制建设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1.1管理制度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、成长辅导室建设纳入院系大学生思想政治教育工作内容；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、成长辅导室的建设由院系大学生思想政治教育工作负责人负责，指定一名专职辅导员负责日常运行；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、有完善的辅导室管理制度，包括辅导室管理细则、辅导老师工作职责等。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1.2经费投入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每学期有一定的经费投入。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队伍建设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2.1辅导老师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、建立以辅导员为骨干，专业教师等为补充的辅导队伍；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、辅导队伍每学期案例讨论会不少于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、辅导队伍每学期开展专业培训不少于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、配备一名心理辅导员，必须具有心理学或教育学背景和国家二级心理咨询师资格。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2.2朋辈辅导队伍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、建立了以院系学生会朋辈心理工作部学生干部、班级心理委员为主，其他学生自愿加入的朋辈辅导队伍；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、定期开展相关培训。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3.条件建设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3.1场地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、选址利于辅导员开展辅导工作和学生来访，符合安全、方便原则；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、总面积不少于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平方米；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、室内环境色调温和、舒适、自然、和谐。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3.2功能区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、接待区，配有接待座椅、电话等；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、辅导区有必备的、质地柔软舒适辅导椅；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、有成长辅导范围、成长辅导老师介绍以及其他宣传资料；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、配有电脑等其他所需设备。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4.日常运行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4.1辅导管理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1、有学期辅导工作计划与总结；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2、提供个体辅导、小团体辅导、电话辅导、信函辅导等基本辅导方式；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3、辅导档案记录详实。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4.2辅导内容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1、思想提升辅导：对学生进行理想信念、爱国主义、公民道德辅导；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学业发展辅导：对学困生、考研生开展辅导；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3、生活适应辅导：对学生开展人际交往、闲暇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生活、亲子关系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辅导；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4、职业规划辅导：对就业困难生以及职业发展迷茫学生的辅导；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危机应对辅导：对有重大生活事件、处于心理或精神疾病康复期学生的辅导；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对特殊群体的辅导：对新生、家困生、违纪学生等的辅导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4.3辅导效果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、采取多种方式宣传成长辅导室，学生知晓度达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60%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以上；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、辅导对象对辅导效果比较满意。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5.特色工作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" w:right="9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1"/>
                <w:szCs w:val="21"/>
              </w:rPr>
              <w:t>根据学院实际开展特色工作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特色鲜明，有针对性、普及性。</w:t>
            </w:r>
          </w:p>
        </w:tc>
      </w:tr>
    </w:tbl>
    <w:p>
      <w:pP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color w:val="333333"/>
          <w:sz w:val="21"/>
          <w:szCs w:val="21"/>
        </w:rPr>
        <w:t> </w:t>
      </w:r>
    </w:p>
    <w:p>
      <w:pP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湘潭医卫职业技术学院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24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度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</w:rPr>
        <w:t>湖南省普通高等学</w:t>
      </w:r>
      <w:r>
        <w:rPr>
          <w:rFonts w:hint="default" w:ascii="方正小标宋_GBK" w:hAnsi="方正小标宋_GBK" w:eastAsia="方正小标宋_GBK" w:cs="方正小标宋_GBK"/>
          <w:color w:val="auto"/>
          <w:spacing w:val="-20"/>
          <w:sz w:val="52"/>
          <w:szCs w:val="52"/>
        </w:rPr>
        <w:t>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</w:rPr>
        <w:t>特色成长辅导室建设项目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培育对象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333333"/>
          <w:sz w:val="21"/>
          <w:szCs w:val="2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color w:val="auto"/>
          <w:spacing w:val="400"/>
          <w:sz w:val="84"/>
          <w:szCs w:val="84"/>
        </w:rPr>
        <w:t>申</w:t>
      </w:r>
      <w:r>
        <w:rPr>
          <w:rFonts w:hint="eastAsia" w:ascii="方正小标宋_GBK" w:hAnsi="方正小标宋_GBK" w:eastAsia="方正小标宋_GBK" w:cs="方正小标宋_GBK"/>
          <w:color w:val="auto"/>
          <w:spacing w:val="400"/>
          <w:sz w:val="84"/>
          <w:szCs w:val="84"/>
          <w:lang w:val="en-US" w:eastAsia="zh-CN"/>
        </w:rPr>
        <w:t>报</w:t>
      </w:r>
      <w:r>
        <w:rPr>
          <w:rFonts w:hint="default" w:ascii="方正小标宋_GBK" w:hAnsi="方正小标宋_GBK" w:eastAsia="方正小标宋_GBK" w:cs="方正小标宋_GBK"/>
          <w:color w:val="auto"/>
          <w:sz w:val="84"/>
          <w:szCs w:val="84"/>
        </w:rPr>
        <w:t>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92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000000"/>
          <w:sz w:val="21"/>
          <w:szCs w:val="21"/>
        </w:rPr>
        <w:t> 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5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color w:val="auto"/>
                <w:spacing w:val="-6"/>
                <w:sz w:val="36"/>
                <w:szCs w:val="36"/>
              </w:rPr>
              <w:t>项目名</w:t>
            </w:r>
            <w:r>
              <w:rPr>
                <w:rFonts w:hint="default" w:ascii="楷体_GB2312" w:hAnsi="Times New Roman" w:eastAsia="楷体_GB2312" w:cs="楷体_GB2312"/>
                <w:color w:val="auto"/>
                <w:sz w:val="36"/>
                <w:szCs w:val="36"/>
              </w:rPr>
              <w:t>称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spacing w:val="-6"/>
                <w:sz w:val="36"/>
                <w:szCs w:val="36"/>
              </w:rPr>
              <w:t>学</w:t>
            </w:r>
            <w:r>
              <w:rPr>
                <w:rFonts w:hint="eastAsia" w:ascii="楷体_GB2312" w:hAnsi="Times New Roman" w:eastAsia="楷体_GB2312" w:cs="楷体_GB2312"/>
                <w:color w:val="000000"/>
                <w:spacing w:val="-6"/>
                <w:sz w:val="36"/>
                <w:szCs w:val="36"/>
                <w:lang w:val="en-US" w:eastAsia="zh-CN"/>
              </w:rPr>
              <w:t>院</w:t>
            </w:r>
            <w:r>
              <w:rPr>
                <w:rFonts w:hint="default" w:ascii="楷体_GB2312" w:hAnsi="Times New Roman" w:eastAsia="楷体_GB2312" w:cs="楷体_GB2312"/>
                <w:color w:val="000000"/>
                <w:spacing w:val="-6"/>
                <w:sz w:val="36"/>
                <w:szCs w:val="36"/>
              </w:rPr>
              <w:t>名称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auto"/>
                <w:spacing w:val="1"/>
                <w:w w:val="80"/>
                <w:kern w:val="0"/>
                <w:sz w:val="36"/>
                <w:szCs w:val="36"/>
                <w:fitText w:val="1440" w:id="1945586922"/>
              </w:rPr>
              <w:t>项目负责</w:t>
            </w:r>
            <w:r>
              <w:rPr>
                <w:rFonts w:hint="default" w:ascii="楷体_GB2312" w:hAnsi="Times New Roman" w:eastAsia="楷体_GB2312" w:cs="楷体_GB2312"/>
                <w:color w:val="auto"/>
                <w:spacing w:val="0"/>
                <w:w w:val="80"/>
                <w:kern w:val="0"/>
                <w:sz w:val="36"/>
                <w:szCs w:val="36"/>
                <w:fitText w:val="1440" w:id="1945586922"/>
              </w:rPr>
              <w:t>人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auto"/>
                <w:sz w:val="36"/>
                <w:szCs w:val="36"/>
              </w:rPr>
              <w:t>通讯地址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auto"/>
                <w:sz w:val="36"/>
                <w:szCs w:val="36"/>
              </w:rPr>
              <w:t>联系电话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pacing w:val="60"/>
                <w:sz w:val="36"/>
                <w:szCs w:val="36"/>
              </w:rPr>
              <w:t>E-mail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auto"/>
                <w:sz w:val="36"/>
                <w:szCs w:val="36"/>
              </w:rPr>
              <w:t>申请日期</w:t>
            </w:r>
          </w:p>
        </w:tc>
        <w:tc>
          <w:tcPr>
            <w:tcW w:w="5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______________________________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000000"/>
          <w:sz w:val="21"/>
          <w:szCs w:val="2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000000"/>
          <w:sz w:val="21"/>
          <w:szCs w:val="21"/>
        </w:rPr>
        <w:t> 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spacing w:val="40"/>
                <w:sz w:val="36"/>
                <w:szCs w:val="36"/>
                <w:lang w:val="en-US" w:eastAsia="zh-CN"/>
              </w:rPr>
              <w:t>学生工作处制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50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bCs/>
          <w:color w:val="333333"/>
          <w:spacing w:val="40"/>
          <w:sz w:val="36"/>
          <w:szCs w:val="36"/>
        </w:rPr>
        <w:t>二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40"/>
          <w:sz w:val="36"/>
          <w:szCs w:val="36"/>
        </w:rPr>
        <w:t>O</w:t>
      </w:r>
      <w:r>
        <w:rPr>
          <w:rFonts w:hint="eastAsia" w:ascii="楷体_GB2312" w:hAnsi="Times New Roman" w:eastAsia="楷体_GB2312" w:cs="楷体_GB2312"/>
          <w:b/>
          <w:bCs/>
          <w:color w:val="333333"/>
          <w:spacing w:val="40"/>
          <w:sz w:val="36"/>
          <w:szCs w:val="36"/>
          <w:lang w:val="en-US" w:eastAsia="zh-CN"/>
        </w:rPr>
        <w:t>二四</w:t>
      </w:r>
      <w:r>
        <w:rPr>
          <w:rFonts w:hint="default" w:ascii="楷体_GB2312" w:hAnsi="Times New Roman" w:eastAsia="楷体_GB2312" w:cs="楷体_GB2312"/>
          <w:b/>
          <w:bCs/>
          <w:color w:val="333333"/>
          <w:spacing w:val="40"/>
          <w:sz w:val="36"/>
          <w:szCs w:val="36"/>
        </w:rPr>
        <w:t>年</w:t>
      </w:r>
      <w:r>
        <w:rPr>
          <w:rFonts w:hint="eastAsia" w:ascii="楷体_GB2312" w:hAnsi="Times New Roman" w:eastAsia="楷体_GB2312" w:cs="楷体_GB2312"/>
          <w:b/>
          <w:bCs/>
          <w:color w:val="333333"/>
          <w:spacing w:val="40"/>
          <w:sz w:val="36"/>
          <w:szCs w:val="36"/>
          <w:lang w:val="en-US" w:eastAsia="zh-CN"/>
        </w:rPr>
        <w:t>五</w:t>
      </w:r>
      <w:r>
        <w:rPr>
          <w:rFonts w:hint="default" w:ascii="楷体_GB2312" w:hAnsi="Times New Roman" w:eastAsia="楷体_GB2312" w:cs="楷体_GB2312"/>
          <w:b/>
          <w:bCs/>
          <w:color w:val="333333"/>
          <w:spacing w:val="40"/>
          <w:sz w:val="36"/>
          <w:szCs w:val="36"/>
        </w:rPr>
        <w:t>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宋体" w:eastAsia="黑体" w:cs="黑体"/>
          <w:color w:val="333333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一、简表</w:t>
      </w:r>
    </w:p>
    <w:tbl>
      <w:tblPr>
        <w:tblStyle w:val="7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35"/>
        <w:gridCol w:w="816"/>
        <w:gridCol w:w="562"/>
        <w:gridCol w:w="567"/>
        <w:gridCol w:w="242"/>
        <w:gridCol w:w="865"/>
        <w:gridCol w:w="506"/>
        <w:gridCol w:w="431"/>
        <w:gridCol w:w="461"/>
        <w:gridCol w:w="479"/>
        <w:gridCol w:w="349"/>
        <w:gridCol w:w="1022"/>
        <w:gridCol w:w="435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项目简况</w:t>
            </w:r>
          </w:p>
        </w:tc>
        <w:tc>
          <w:tcPr>
            <w:tcW w:w="12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685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___________ 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____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single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single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_____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特色成长辅导室建设项目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申请经费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万元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配套经费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righ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万元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起止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年月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月至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责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4"/>
                <w:sz w:val="21"/>
                <w:szCs w:val="21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4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pacing w:val="14"/>
                <w:sz w:val="21"/>
                <w:szCs w:val="21"/>
              </w:rPr>
              <w:t>历</w:t>
            </w: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位</w:t>
            </w:r>
          </w:p>
        </w:tc>
        <w:tc>
          <w:tcPr>
            <w:tcW w:w="23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组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-258" w:firstLine="21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总人数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高级职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中级职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初级职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士</w:t>
            </w:r>
          </w:p>
        </w:tc>
        <w:tc>
          <w:tcPr>
            <w:tcW w:w="13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-113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主要成员∧不含负责人∨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工作部门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职称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职务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"/>
                <w:w w:val="98"/>
                <w:kern w:val="0"/>
                <w:sz w:val="21"/>
                <w:szCs w:val="21"/>
                <w:fitText w:val="1239" w:id="1101599119"/>
              </w:rPr>
              <w:t>项目中的分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w w:val="98"/>
                <w:kern w:val="0"/>
                <w:sz w:val="21"/>
                <w:szCs w:val="21"/>
                <w:fitText w:val="1239" w:id="1101599119"/>
              </w:rPr>
              <w:t>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3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签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eastAsia" w:ascii="黑体" w:hAnsi="宋体" w:eastAsia="黑体" w:cs="黑体"/>
          <w:color w:val="333333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二、项目建设方案及实施计划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1、项目建设内容、建设目标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2、项目建设方案、具体实施计划和可行性分析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3、项目预期的成效和成果（包括成长辅导室硬件建设、软件建设前后对比情况、预期受益学生数及对社会的积极影响等）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4、本项目的特色与创新之处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1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333333"/>
          <w:sz w:val="21"/>
          <w:szCs w:val="2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1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333333"/>
          <w:sz w:val="21"/>
          <w:szCs w:val="2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1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华文仿宋" w:cs="Times New Roman"/>
          <w:color w:val="333333"/>
          <w:sz w:val="21"/>
          <w:szCs w:val="2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三、项目立项的基础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1、项目已开展的情况及成效（须在附件材料中提供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3</w:t>
      </w: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张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6</w:t>
      </w: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寸规格的关于成长辅导室建设情况、工作环境、运行情况的彩照）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2、学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  <w:lang w:val="en-US" w:eastAsia="zh-CN"/>
        </w:rPr>
        <w:t>院</w:t>
      </w: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已具备的项目申报条件、学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  <w:lang w:val="en-US" w:eastAsia="zh-CN"/>
        </w:rPr>
        <w:t>院</w:t>
      </w: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对项目的支持情况（含有关政策、经费及其使用管理机制、保障条件等，可附有关文件）、尚缺少的条件和拟解决的措施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333333"/>
          <w:sz w:val="28"/>
          <w:szCs w:val="28"/>
        </w:rPr>
        <w:t>3、项目负责人和主要成员从事与本项目相关工作所取得的主要成绩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四、经费预算</w:t>
      </w:r>
    </w:p>
    <w:tbl>
      <w:tblPr>
        <w:tblStyle w:val="7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273"/>
        <w:gridCol w:w="5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主要支出科目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(含配套经费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金额（元）</w:t>
            </w:r>
          </w:p>
        </w:tc>
        <w:tc>
          <w:tcPr>
            <w:tcW w:w="5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84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五、评审意见</w:t>
      </w:r>
    </w:p>
    <w:tbl>
      <w:tblPr>
        <w:tblStyle w:val="7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8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学生工作处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审定意见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B71B66"/>
    <w:rsid w:val="00015D5E"/>
    <w:rsid w:val="00063092"/>
    <w:rsid w:val="00064956"/>
    <w:rsid w:val="000D3897"/>
    <w:rsid w:val="000E7971"/>
    <w:rsid w:val="0013120E"/>
    <w:rsid w:val="00137B9A"/>
    <w:rsid w:val="001664AE"/>
    <w:rsid w:val="001F0F4C"/>
    <w:rsid w:val="0024608D"/>
    <w:rsid w:val="002871CA"/>
    <w:rsid w:val="002A3F58"/>
    <w:rsid w:val="002C6B8D"/>
    <w:rsid w:val="002D2F97"/>
    <w:rsid w:val="003527A1"/>
    <w:rsid w:val="00366666"/>
    <w:rsid w:val="003846F8"/>
    <w:rsid w:val="00390D2E"/>
    <w:rsid w:val="003E0095"/>
    <w:rsid w:val="00411049"/>
    <w:rsid w:val="00430B58"/>
    <w:rsid w:val="00456543"/>
    <w:rsid w:val="00472F09"/>
    <w:rsid w:val="00485B04"/>
    <w:rsid w:val="004F6B9E"/>
    <w:rsid w:val="005073B4"/>
    <w:rsid w:val="00552987"/>
    <w:rsid w:val="0056596C"/>
    <w:rsid w:val="00593B48"/>
    <w:rsid w:val="005948EB"/>
    <w:rsid w:val="005D76DD"/>
    <w:rsid w:val="006133F8"/>
    <w:rsid w:val="00670E2B"/>
    <w:rsid w:val="00683D83"/>
    <w:rsid w:val="00693DB5"/>
    <w:rsid w:val="006A5373"/>
    <w:rsid w:val="006F0A94"/>
    <w:rsid w:val="00733ABD"/>
    <w:rsid w:val="007D5320"/>
    <w:rsid w:val="00800AA0"/>
    <w:rsid w:val="008416C3"/>
    <w:rsid w:val="00843962"/>
    <w:rsid w:val="00886C31"/>
    <w:rsid w:val="008A5B1B"/>
    <w:rsid w:val="008B799C"/>
    <w:rsid w:val="008D67DE"/>
    <w:rsid w:val="008F6195"/>
    <w:rsid w:val="00901DC2"/>
    <w:rsid w:val="00914B6A"/>
    <w:rsid w:val="0092454F"/>
    <w:rsid w:val="00931D93"/>
    <w:rsid w:val="009327D1"/>
    <w:rsid w:val="00943AF9"/>
    <w:rsid w:val="00944E63"/>
    <w:rsid w:val="0094515F"/>
    <w:rsid w:val="0095431C"/>
    <w:rsid w:val="00960FB9"/>
    <w:rsid w:val="009A1B9A"/>
    <w:rsid w:val="00A41C26"/>
    <w:rsid w:val="00A82C9A"/>
    <w:rsid w:val="00AA0A57"/>
    <w:rsid w:val="00AE475D"/>
    <w:rsid w:val="00AF027F"/>
    <w:rsid w:val="00B0507D"/>
    <w:rsid w:val="00B32512"/>
    <w:rsid w:val="00B35D43"/>
    <w:rsid w:val="00B71B66"/>
    <w:rsid w:val="00B763F9"/>
    <w:rsid w:val="00BB0790"/>
    <w:rsid w:val="00BF6457"/>
    <w:rsid w:val="00C24BD6"/>
    <w:rsid w:val="00C35CE4"/>
    <w:rsid w:val="00C50559"/>
    <w:rsid w:val="00C52AF3"/>
    <w:rsid w:val="00CA3FD0"/>
    <w:rsid w:val="00CF7699"/>
    <w:rsid w:val="00D60A05"/>
    <w:rsid w:val="00D83DCA"/>
    <w:rsid w:val="00DA71F1"/>
    <w:rsid w:val="00DB48A1"/>
    <w:rsid w:val="00E13F66"/>
    <w:rsid w:val="00EC6D05"/>
    <w:rsid w:val="00ED0919"/>
    <w:rsid w:val="00F11E75"/>
    <w:rsid w:val="00F360D4"/>
    <w:rsid w:val="00F36659"/>
    <w:rsid w:val="00F6197C"/>
    <w:rsid w:val="00F94763"/>
    <w:rsid w:val="00F9642E"/>
    <w:rsid w:val="00FA5350"/>
    <w:rsid w:val="00FA5D71"/>
    <w:rsid w:val="00FD283F"/>
    <w:rsid w:val="11CA29FA"/>
    <w:rsid w:val="12810A9C"/>
    <w:rsid w:val="176E79A6"/>
    <w:rsid w:val="29F3374A"/>
    <w:rsid w:val="3E052532"/>
    <w:rsid w:val="40693557"/>
    <w:rsid w:val="4A333801"/>
    <w:rsid w:val="4DBB1EB6"/>
    <w:rsid w:val="502303EF"/>
    <w:rsid w:val="53FF3BE9"/>
    <w:rsid w:val="567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515</Words>
  <Characters>2940</Characters>
  <Lines>24</Lines>
  <Paragraphs>6</Paragraphs>
  <TotalTime>1</TotalTime>
  <ScaleCrop>false</ScaleCrop>
  <LinksUpToDate>false</LinksUpToDate>
  <CharactersWithSpaces>3449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2021-09-08T05:32:00Z</dcterms:created>
  <dc:creator>Microsoft</dc:creator>
  <cp:lastModifiedBy>Administrator</cp:lastModifiedBy>
  <cp:lastPrinted>2021-09-09T07:57:00Z</cp:lastPrinted>
  <dcterms:modified xsi:type="dcterms:W3CDTF">2024-05-14T07:40:50Z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53D9586AE1074D07AE40A0A231455328_13</vt:lpwstr>
  </property>
</Properties>
</file>